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0"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7"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001-04177</w:t>
      </w:r>
    </w:p>
    <w:p>
      <w:pPr>
        <w:spacing w:after="0" w:line="1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American Oncology Network,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7"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85-3984427</w:t>
            </w:r>
          </w:p>
        </w:tc>
      </w:tr>
      <w:tr>
        <w:trPr>
          <w:trHeight w:val="338"/>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24"/>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14543 Global Parkway, Suite 110, Fort Myers, Florida</w:t>
            </w:r>
          </w:p>
        </w:tc>
        <w:tc>
          <w:tcPr>
            <w:tcW w:w="36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33913</w:t>
            </w:r>
          </w:p>
        </w:tc>
      </w:tr>
      <w:tr>
        <w:trPr>
          <w:trHeight w:val="270"/>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(833) 886-1725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5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5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7"/>
        </w:trPr>
        <w:tc>
          <w:tcPr>
            <w:tcW w:w="56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6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7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November 12th, 2024, the registrant had outstanding 29,923,876 shares of Class A common stock, inclusive of the Sponsor Earnout shares, and 14,867,850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216"/>
        </w:trPr>
        <w:tc>
          <w:tcPr>
            <w:tcW w:w="92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0"/>
        </w:trPr>
        <w:tc>
          <w:tcPr>
            <w:tcW w:w="9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and Stockholders’ Deficit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4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1. Legal Proceedings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1006"/>
        </w:trPr>
        <w:tc>
          <w:tcPr>
            <w:tcW w:w="9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including, without limitation, statements under the headings “Management's Discussion and Analysis of Financial Condition and Results of Operations,” contains forward-looking statements for purposes of the safe harbor provisions under the United States Private Securities Litigation Reform Act of 1995, including statements about the financial condition, results of operations, earnings outlook and prospects of American Oncology Network, Inc. (“AON”, “New AON”, “AON Inc.”, or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current expectations and projections about future events and various assumptions. AON cannot guarantee that it will actually achieve the plans, intentions, or expectations disclosed in its forward-looking statements and you should not place undue reliance on AON’s forward-looking statements.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(many of which are beyond the control of AON), or other assumptions that may cause actual results or performance to differ materially from those expressed or implied by these forward-looking statements. The forward-looking statements contained herein are also subject generally to other risks and uncertainties that are described from time to time in AON’s filings with the Securities and Exchange Commission, including “Risk Factors” in the Company’s most recent Annual Report on Form 10-K, Quarterly Reports on Form 10-Q and Current Reports on Form 8-K. The risks described in the “Risk Factors” sections are not exhaustive. New risk factors emerge from time to time, and it is not possible to predict all such risk factors, nor can AON assess the impact of all such risk factors on the business of AON, or the extent to which any factor or combination of factors may cause actual results to differ materially from those contained in any forward-looking statement. The statements made herein are made as of the date of this Quarterly Report and, except as may be required by law, AON undertakes no obligation to update them, whether as a result of new information, developments, or otherwise.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34,274</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receivable - related parties</w:t>
            </w: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7"/>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277,803</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 (1)</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374,453</w:t>
            </w:r>
          </w:p>
        </w:tc>
      </w:tr>
      <w:tr>
        <w:trPr>
          <w:trHeight w:val="237"/>
        </w:trPr>
        <w:tc>
          <w:tcPr>
            <w:tcW w:w="6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127,645</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 (3)</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169,045</w:t>
            </w:r>
          </w:p>
        </w:tc>
      </w:tr>
      <w:tr>
        <w:trPr>
          <w:trHeight w:val="270"/>
        </w:trPr>
        <w:tc>
          <w:tcPr>
            <w:tcW w:w="6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 (4)</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39,803</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r>
      <w:tr>
        <w:trPr>
          <w:trHeight w:val="236"/>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303,740</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6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Mezzanine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A convertible preferred stock; $0.0001 par value; 7,500,000 shares authorized;</w:t>
            </w: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6,651,610 issued and outstanding at September 30, 2024 and December 31, 2023, with an</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liquidation preference of $72,175,398 and $68,009,015 at September 30, 2024</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1"/>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r>
      <w:tr>
        <w:trPr>
          <w:trHeight w:val="243"/>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167,025</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$0.0001 par value; 200,000,000 shares authorized; 16,177,647</w:t>
            </w: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9,517,816 shares issued and outstanding at September 30, 2024 and December 31,</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1"/>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respectively.</w:t>
            </w:r>
          </w:p>
        </w:tc>
        <w:tc>
          <w:tcPr>
            <w:tcW w:w="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 $0.0001 par value; 100,000,000 shares authorized; 20,445,123</w:t>
            </w: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25,109,551 shares issued and outstanding at September 30, 2024 and December 31,</w:t>
            </w: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 respectively.</w:t>
            </w:r>
          </w:p>
        </w:tc>
        <w:tc>
          <w:tcPr>
            <w:tcW w:w="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122,743 shares at September 30, 2024 and 14,729 shares at</w:t>
            </w: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deficit</w:t>
            </w:r>
          </w:p>
        </w:tc>
        <w:tc>
          <w:tcPr>
            <w:tcW w:w="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(103,488)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(161,812)</w:t>
            </w:r>
          </w:p>
        </w:tc>
      </w:tr>
      <w:tr>
        <w:trPr>
          <w:trHeight w:val="27"/>
        </w:trPr>
        <w:tc>
          <w:tcPr>
            <w:tcW w:w="6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AON stockholders' deficit</w:t>
            </w:r>
          </w:p>
        </w:tc>
        <w:tc>
          <w:tcPr>
            <w:tcW w:w="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(161,727)</w:t>
            </w:r>
          </w:p>
        </w:tc>
      </w:tr>
      <w:tr>
        <w:trPr>
          <w:trHeight w:val="237"/>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6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deficit</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(161,298)</w:t>
            </w:r>
          </w:p>
        </w:tc>
      </w:tr>
      <w:tr>
        <w:trPr>
          <w:trHeight w:val="237"/>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mezzanine equity, noncontrolling interest, and stockholders' equity</w:t>
            </w: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394,811</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374,453</w:t>
            </w:r>
          </w:p>
        </w:tc>
      </w:tr>
      <w:tr>
        <w:trPr>
          <w:trHeight w:val="27"/>
        </w:trPr>
        <w:tc>
          <w:tcPr>
            <w:tcW w:w="6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operating right-of-use assets, net of $14,963 and $10,931 at September 30, 2024 and December 31,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to related party of $143,658 and $120,857 at September 30, 2024 and December 31,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current portion of operating lease liabilities of $3,732 and $1,888 at September 30, 2024 and December 31,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long-term operating lease liabilities of $9,842 and $9,472 at September 30, 2024 and December 31, 2023,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Patient service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465,474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945,681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955,003</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(1)</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880,827</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29,886</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983,544</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w:t>
            </w:r>
          </w:p>
        </w:tc>
      </w:tr>
      <w:tr>
        <w:trPr>
          <w:trHeight w:val="61"/>
        </w:trPr>
        <w:tc>
          <w:tcPr>
            <w:tcW w:w="50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05"/>
        </w:trPr>
        <w:tc>
          <w:tcPr>
            <w:tcW w:w="506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Loss before income taxes, equity loss in affiliate, and</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before equity in affiliate and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(40,546)</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(loss) of affiliate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Net loss and noncontrolling interest attributable to Legacy</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AON Stockholders prior to the reverse recapitalization</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loss attributable to AON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7"/>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Series A Preferred Cumulative Dividends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Series A Preferred Deemed Dividends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Reallocation of net loss attributable to Class A Common</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as a result of the impact and conversion of dilutive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61"/>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loss attributable to Class A Common Stockholders for diluted</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66"/>
        </w:trPr>
        <w:tc>
          <w:tcPr>
            <w:tcW w:w="5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43"/>
        </w:trPr>
        <w:tc>
          <w:tcPr>
            <w:tcW w:w="5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w:t>
            </w:r>
          </w:p>
        </w:tc>
        <w:tc>
          <w:tcPr>
            <w:tcW w:w="14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5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36,225,302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34"/>
        </w:trPr>
        <w:tc>
          <w:tcPr>
            <w:tcW w:w="50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(40,607)</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attributable to Legacy AON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AON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
        </w:trPr>
        <w:tc>
          <w:tcPr>
            <w:tcW w:w="5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inventory expense of $399,848 and $271,790 and $1,076,092 and $777,478 for the three and nine months ended September 30, 2024 and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rent of $637 and $679 and $2,015 and $2,037 for the three and nine months ended September 30, 2024 and 2023, respectively.</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and Stockholders’ Deficit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in thousands, except share and per share data)</w:t>
      </w:r>
    </w:p>
    <w:tbl>
      <w:tblPr>
        <w:tblLayout w:type="fixed"/>
        <w:tblInd w:w="40" w:type="dxa"/>
        <w:tblCellMar>
          <w:top w:w="0" w:type="dxa"/>
          <w:left w:w="0" w:type="dxa"/>
          <w:bottom w:w="0" w:type="dxa"/>
          <w:right w:w="0" w:type="dxa"/>
        </w:tblCellMar>
      </w:tblPr>
      <w:tr>
        <w:trPr>
          <w:trHeight w:val="232"/>
        </w:trPr>
        <w:tc>
          <w:tcPr>
            <w:tcW w:w="1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700" w:type="dxa"/>
            <w:vAlign w:val="bottom"/>
            <w:shd w:val="clear" w:color="auto" w:fill="CCEEFF"/>
          </w:tcPr>
          <w:p>
            <w:pPr>
              <w:jc w:val="right"/>
              <w:ind w:right="132"/>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NCI</w:t>
            </w:r>
            <w:r>
              <w:rPr>
                <w:rFonts w:ascii="Times New Roman" w:cs="Times New Roman" w:eastAsia="Times New Roman" w:hAnsi="Times New Roman"/>
                <w:sz w:val="9"/>
                <w:szCs w:val="9"/>
                <w:b w:val="1"/>
                <w:bCs w:val="1"/>
                <w:color w:val="auto"/>
              </w:rPr>
              <w:t>(1)</w:t>
            </w:r>
          </w:p>
        </w:tc>
        <w:tc>
          <w:tcPr>
            <w:tcW w:w="100" w:type="dxa"/>
            <w:vAlign w:val="bottom"/>
            <w:shd w:val="clear" w:color="auto" w:fill="000000"/>
          </w:tcPr>
          <w:p>
            <w:pPr>
              <w:spacing w:after="0"/>
              <w:rPr>
                <w:sz w:val="20"/>
                <w:szCs w:val="20"/>
                <w:color w:val="auto"/>
              </w:rPr>
            </w:pPr>
          </w:p>
        </w:tc>
        <w:tc>
          <w:tcPr>
            <w:tcW w:w="2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Class B Common</w:t>
            </w: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Class C</w:t>
            </w: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000000"/>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8"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APIC</w:t>
            </w:r>
            <w:r>
              <w:rPr>
                <w:rFonts w:ascii="Times New Roman" w:cs="Times New Roman" w:eastAsia="Times New Roman" w:hAnsi="Times New Roman"/>
                <w:sz w:val="18"/>
                <w:szCs w:val="18"/>
                <w:b w:val="1"/>
                <w:bCs w:val="1"/>
                <w:color w:val="auto"/>
                <w:vertAlign w:val="superscript"/>
              </w:rPr>
              <w:t>(1)</w:t>
            </w: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AOCI</w:t>
            </w:r>
            <w:r>
              <w:rPr>
                <w:rFonts w:ascii="Times New Roman" w:cs="Times New Roman" w:eastAsia="Times New Roman" w:hAnsi="Times New Roman"/>
                <w:sz w:val="18"/>
                <w:szCs w:val="18"/>
                <w:b w:val="1"/>
                <w:bCs w:val="1"/>
                <w:color w:val="auto"/>
                <w:w w:val="98"/>
                <w:vertAlign w:val="superscript"/>
              </w:rPr>
              <w:t>(1)</w:t>
            </w:r>
          </w:p>
        </w:tc>
        <w:tc>
          <w:tcPr>
            <w:tcW w:w="13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480" w:type="dxa"/>
            <w:vAlign w:val="bottom"/>
          </w:tcPr>
          <w:p>
            <w:pPr>
              <w:spacing w:after="0" w:line="146" w:lineRule="exact"/>
              <w:rPr>
                <w:sz w:val="20"/>
                <w:szCs w:val="20"/>
                <w:color w:val="auto"/>
              </w:rPr>
            </w:pPr>
            <w:r>
              <w:rPr>
                <w:rFonts w:ascii="Times New Roman" w:cs="Times New Roman" w:eastAsia="Times New Roman" w:hAnsi="Times New Roman"/>
                <w:sz w:val="14"/>
                <w:szCs w:val="14"/>
                <w:i w:val="1"/>
                <w:iCs w:val="1"/>
                <w:color w:val="auto"/>
              </w:rPr>
              <w:t>share and per share</w:t>
            </w:r>
          </w:p>
        </w:tc>
        <w:tc>
          <w:tcPr>
            <w:tcW w:w="600" w:type="dxa"/>
            <w:vAlign w:val="bottom"/>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880" w:type="dxa"/>
            <w:vAlign w:val="bottom"/>
          </w:tcPr>
          <w:p>
            <w:pPr>
              <w:jc w:val="right"/>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jc w:val="right"/>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data)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4"/>
        </w:trPr>
        <w:tc>
          <w:tcPr>
            <w:tcW w:w="14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4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shd w:val="clear" w:color="auto" w:fill="000000"/>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6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30, 2024</w:t>
            </w:r>
          </w:p>
        </w:tc>
        <w:tc>
          <w:tcPr>
            <w:tcW w:w="6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000000"/>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June 30,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28,331</w:t>
            </w:r>
          </w:p>
        </w:tc>
        <w:tc>
          <w:tcPr>
            <w:tcW w:w="100" w:type="dxa"/>
            <w:vAlign w:val="bottom"/>
            <w:shd w:val="clear" w:color="auto" w:fill="000000"/>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12,939,850</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20,571,323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27,074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(66,720)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(39,466)</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based</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&amp; NCI</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rebalancing</w:t>
            </w: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272,223</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8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000000"/>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680</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Redemptions of Class</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 Common Stock to</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126,200</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(126,200)</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161</w:t>
            </w:r>
          </w:p>
        </w:tc>
        <w:tc>
          <w:tcPr>
            <w:tcW w:w="8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adjustment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redeemable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62,816</w:t>
            </w:r>
          </w:p>
        </w:tc>
        <w:tc>
          <w:tcPr>
            <w:tcW w:w="100" w:type="dxa"/>
            <w:vAlign w:val="bottom"/>
            <w:shd w:val="clear" w:color="auto" w:fill="000000"/>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(27,117)</w:t>
            </w: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(35,699)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(62,816)</w:t>
            </w:r>
          </w:p>
        </w:tc>
        <w:tc>
          <w:tcPr>
            <w:tcW w:w="0" w:type="dxa"/>
            <w:vAlign w:val="bottom"/>
          </w:tcPr>
          <w:p>
            <w:pPr>
              <w:spacing w:after="0"/>
              <w:rPr>
                <w:sz w:val="1"/>
                <w:szCs w:val="1"/>
                <w:color w:val="auto"/>
              </w:rPr>
            </w:pPr>
          </w:p>
        </w:tc>
      </w:tr>
      <w:tr>
        <w:trPr>
          <w:trHeight w:val="37"/>
        </w:trPr>
        <w:tc>
          <w:tcPr>
            <w:tcW w:w="14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shd w:val="clear" w:color="auto" w:fill="000000"/>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4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Balances at September</w:t>
            </w:r>
          </w:p>
        </w:tc>
        <w:tc>
          <w:tcPr>
            <w:tcW w:w="6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91,731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13,338,273</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20,445,123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(103,488)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NCI</w:t>
            </w:r>
            <w:r>
              <w:rPr>
                <w:rFonts w:ascii="Times New Roman" w:cs="Times New Roman" w:eastAsia="Times New Roman" w:hAnsi="Times New Roman"/>
                <w:sz w:val="18"/>
                <w:szCs w:val="18"/>
                <w:b w:val="1"/>
                <w:bCs w:val="1"/>
                <w:color w:val="auto"/>
                <w:vertAlign w:val="superscript"/>
              </w:rPr>
              <w:t>(1)</w:t>
            </w:r>
          </w:p>
        </w:tc>
        <w:tc>
          <w:tcPr>
            <w:tcW w:w="80" w:type="dxa"/>
            <w:vAlign w:val="bottom"/>
            <w:shd w:val="clear" w:color="auto" w:fill="000000"/>
          </w:tcPr>
          <w:p>
            <w:pPr>
              <w:spacing w:after="0"/>
              <w:rPr>
                <w:sz w:val="17"/>
                <w:szCs w:val="17"/>
                <w:color w:val="auto"/>
              </w:rPr>
            </w:pPr>
          </w:p>
        </w:tc>
        <w:tc>
          <w:tcPr>
            <w:tcW w:w="234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Common Class B Common</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Class C</w:t>
            </w: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000000"/>
          </w:tcPr>
          <w:p>
            <w:pPr>
              <w:spacing w:after="0"/>
              <w:rPr>
                <w:sz w:val="19"/>
                <w:szCs w:val="19"/>
                <w:color w:val="auto"/>
              </w:rPr>
            </w:pPr>
          </w:p>
        </w:tc>
        <w:tc>
          <w:tcPr>
            <w:tcW w:w="920" w:type="dxa"/>
            <w:vAlign w:val="bottom"/>
            <w:tcBorders>
              <w:bottom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480" w:type="dxa"/>
            <w:vAlign w:val="bottom"/>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APIC</w:t>
            </w:r>
            <w:r>
              <w:rPr>
                <w:rFonts w:ascii="Times New Roman" w:cs="Times New Roman" w:eastAsia="Times New Roman" w:hAnsi="Times New Roman"/>
                <w:sz w:val="18"/>
                <w:szCs w:val="18"/>
                <w:b w:val="1"/>
                <w:bCs w:val="1"/>
                <w:color w:val="auto"/>
                <w:vertAlign w:val="superscript"/>
              </w:rPr>
              <w:t>(1)</w:t>
            </w: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r>
              <w:rPr>
                <w:rFonts w:ascii="Times New Roman" w:cs="Times New Roman" w:eastAsia="Times New Roman" w:hAnsi="Times New Roman"/>
                <w:sz w:val="18"/>
                <w:szCs w:val="18"/>
                <w:b w:val="1"/>
                <w:bCs w:val="1"/>
                <w:color w:val="auto"/>
                <w:vertAlign w:val="superscript"/>
              </w:rPr>
              <w:t>(1)</w:t>
            </w:r>
          </w:p>
        </w:tc>
        <w:tc>
          <w:tcPr>
            <w:tcW w:w="12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tcPr>
          <w:p>
            <w:pPr>
              <w:jc w:val="center"/>
              <w:ind w:right="28"/>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8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share and per share</w:t>
            </w:r>
          </w:p>
        </w:tc>
        <w:tc>
          <w:tcPr>
            <w:tcW w:w="64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2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data)</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4"/>
        </w:trPr>
        <w:tc>
          <w:tcPr>
            <w:tcW w:w="14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Nine Months Ended</w:t>
            </w:r>
          </w:p>
        </w:tc>
        <w:tc>
          <w:tcPr>
            <w:tcW w:w="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30, 2024</w:t>
            </w:r>
          </w:p>
        </w:tc>
        <w:tc>
          <w:tcPr>
            <w:tcW w:w="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December</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6,652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167,025</w:t>
            </w:r>
          </w:p>
        </w:tc>
        <w:tc>
          <w:tcPr>
            <w:tcW w:w="80" w:type="dxa"/>
            <w:vAlign w:val="bottom"/>
            <w:shd w:val="clear" w:color="auto" w:fill="000000"/>
          </w:tcPr>
          <w:p>
            <w:pPr>
              <w:spacing w:after="0"/>
              <w:rPr>
                <w:sz w:val="16"/>
                <w:szCs w:val="16"/>
                <w:color w:val="auto"/>
              </w:rPr>
            </w:pPr>
          </w:p>
        </w:tc>
        <w:tc>
          <w:tcPr>
            <w:tcW w:w="9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6,678,441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25,109,551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w:t>
            </w:r>
          </w:p>
        </w:tc>
        <w:tc>
          <w:tcPr>
            <w:tcW w:w="12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429</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(161,812)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(161,298)</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auto"/>
            </w:tcBorders>
            <w:shd w:val="clear" w:color="auto" w:fill="000000"/>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(55)</w:t>
            </w:r>
          </w:p>
        </w:tc>
        <w:tc>
          <w:tcPr>
            <w:tcW w:w="1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NCI</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2,061</w:t>
            </w:r>
          </w:p>
        </w:tc>
        <w:tc>
          <w:tcPr>
            <w:tcW w:w="80" w:type="dxa"/>
            <w:vAlign w:val="bottom"/>
            <w:shd w:val="clear" w:color="auto" w:fill="000000"/>
          </w:tcPr>
          <w:p>
            <w:pPr>
              <w:spacing w:after="0"/>
              <w:rPr>
                <w:sz w:val="15"/>
                <w:szCs w:val="15"/>
                <w:color w:val="auto"/>
              </w:rPr>
            </w:pPr>
          </w:p>
        </w:tc>
        <w:tc>
          <w:tcPr>
            <w:tcW w:w="92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w w:val="99"/>
              </w:rPr>
              <w:t>2,122,132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10,854</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rebalancing</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Class</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Common Stock</w:t>
            </w:r>
          </w:p>
        </w:tc>
        <w:tc>
          <w:tcPr>
            <w:tcW w:w="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(126,728)</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contributions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noncontrolling</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restart"/>
          </w:tcPr>
          <w:p>
            <w:pPr>
              <w:jc w:val="center"/>
              <w:ind w:left="708"/>
              <w:spacing w:after="0"/>
              <w:rPr>
                <w:sz w:val="20"/>
                <w:szCs w:val="20"/>
                <w:color w:val="auto"/>
              </w:rPr>
            </w:pPr>
            <w:r>
              <w:rPr>
                <w:rFonts w:ascii="Times New Roman" w:cs="Times New Roman" w:eastAsia="Times New Roman" w:hAnsi="Times New Roman"/>
                <w:sz w:val="14"/>
                <w:szCs w:val="14"/>
                <w:color w:val="auto"/>
              </w:rPr>
              <w:t>380</w:t>
            </w:r>
          </w:p>
        </w:tc>
        <w:tc>
          <w:tcPr>
            <w:tcW w:w="9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member</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(24,463)</w:t>
            </w: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389</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(5,290)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of Class B</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to</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80" w:type="dxa"/>
            <w:vAlign w:val="bottom"/>
            <w:shd w:val="clear" w:color="auto" w:fill="000000"/>
          </w:tcPr>
          <w:p>
            <w:pPr>
              <w:spacing w:after="0"/>
              <w:rPr>
                <w:sz w:val="16"/>
                <w:szCs w:val="16"/>
                <w:color w:val="auto"/>
              </w:rPr>
            </w:pPr>
          </w:p>
        </w:tc>
        <w:tc>
          <w:tcPr>
            <w:tcW w:w="9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4,664,428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(4,664,428)</w:t>
            </w:r>
          </w:p>
        </w:tc>
        <w:tc>
          <w:tcPr>
            <w:tcW w:w="2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16,263</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16,263</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adjustment</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redeemable</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(27,117)</w:t>
            </w: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63,614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Balances at September</w:t>
            </w:r>
          </w:p>
        </w:tc>
        <w:tc>
          <w:tcPr>
            <w:tcW w:w="6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91,731</w:t>
            </w:r>
          </w:p>
        </w:tc>
        <w:tc>
          <w:tcPr>
            <w:tcW w:w="10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13,338,273</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20,445,123</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26</w:t>
            </w:r>
          </w:p>
        </w:tc>
        <w:tc>
          <w:tcPr>
            <w:tcW w:w="128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1,198</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(103,488)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 Equity -</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w:t>
            </w:r>
          </w:p>
        </w:tc>
        <w:tc>
          <w:tcPr>
            <w:tcW w:w="96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20" w:type="dxa"/>
            <w:vAlign w:val="bottom"/>
            <w:vMerge w:val="restart"/>
            <w:shd w:val="clear" w:color="auto" w:fill="CCEEFF"/>
          </w:tcPr>
          <w:p>
            <w:pPr>
              <w:jc w:val="center"/>
              <w:ind w:left="69"/>
              <w:spacing w:after="0"/>
              <w:rPr>
                <w:sz w:val="20"/>
                <w:szCs w:val="20"/>
                <w:color w:val="auto"/>
              </w:rPr>
            </w:pPr>
            <w:r>
              <w:rPr>
                <w:rFonts w:ascii="Times New Roman" w:cs="Times New Roman" w:eastAsia="Times New Roman" w:hAnsi="Times New Roman"/>
                <w:sz w:val="11"/>
                <w:szCs w:val="11"/>
                <w:b w:val="1"/>
                <w:bCs w:val="1"/>
                <w:color w:val="auto"/>
                <w:w w:val="97"/>
              </w:rPr>
              <w:t>Class A-1</w:t>
            </w:r>
          </w:p>
        </w:tc>
        <w:tc>
          <w:tcPr>
            <w:tcW w:w="18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C Units</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NCI</w:t>
            </w:r>
            <w:r>
              <w:rPr>
                <w:rFonts w:ascii="Times New Roman" w:cs="Times New Roman" w:eastAsia="Times New Roman" w:hAnsi="Times New Roman"/>
                <w:sz w:val="7"/>
                <w:szCs w:val="7"/>
                <w:b w:val="1"/>
                <w:bCs w:val="1"/>
                <w:color w:val="auto"/>
              </w:rPr>
              <w:t>(1)</w:t>
            </w:r>
          </w:p>
        </w:tc>
        <w:tc>
          <w:tcPr>
            <w:tcW w:w="9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Units   Class B-1 Units</w:t>
            </w:r>
          </w:p>
        </w:tc>
        <w:tc>
          <w:tcPr>
            <w:tcW w:w="0" w:type="dxa"/>
            <w:vAlign w:val="bottom"/>
          </w:tcPr>
          <w:p>
            <w:pPr>
              <w:spacing w:after="0"/>
              <w:rPr>
                <w:sz w:val="1"/>
                <w:szCs w:val="1"/>
                <w:color w:val="auto"/>
              </w:rPr>
            </w:pPr>
          </w:p>
        </w:tc>
      </w:tr>
      <w:tr>
        <w:trPr>
          <w:trHeight w:val="91"/>
        </w:trPr>
        <w:tc>
          <w:tcPr>
            <w:tcW w:w="1120" w:type="dxa"/>
            <w:vAlign w:val="bottom"/>
            <w:shd w:val="clear" w:color="auto" w:fill="CCEEFF"/>
          </w:tcPr>
          <w:p>
            <w:pPr>
              <w:spacing w:after="0"/>
              <w:rPr>
                <w:sz w:val="7"/>
                <w:szCs w:val="7"/>
                <w:color w:val="auto"/>
              </w:rPr>
            </w:pPr>
          </w:p>
        </w:tc>
        <w:tc>
          <w:tcPr>
            <w:tcW w:w="11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exchanged for Series</w:t>
            </w: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9"/>
              <w:spacing w:after="0" w:line="92"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shd w:val="clear" w:color="auto" w:fill="CCEEFF"/>
          </w:tcPr>
          <w:p>
            <w:pPr>
              <w:jc w:val="center"/>
              <w:ind w:right="69"/>
              <w:spacing w:after="0" w:line="92"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800" w:type="dxa"/>
            <w:vAlign w:val="bottom"/>
            <w:shd w:val="clear" w:color="auto" w:fill="CCEEFF"/>
          </w:tcPr>
          <w:p>
            <w:pPr>
              <w:jc w:val="center"/>
              <w:ind w:right="2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920" w:type="dxa"/>
            <w:vAlign w:val="bottom"/>
            <w:shd w:val="clear" w:color="auto" w:fill="CCEEFF"/>
          </w:tcPr>
          <w:p>
            <w:pPr>
              <w:jc w:val="center"/>
              <w:ind w:left="8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180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xml:space="preserve">A Preferred Stock </w:t>
            </w:r>
            <w:r>
              <w:rPr>
                <w:rFonts w:ascii="Times New Roman" w:cs="Times New Roman" w:eastAsia="Times New Roman" w:hAnsi="Times New Roman"/>
                <w:sz w:val="14"/>
                <w:szCs w:val="14"/>
                <w:b w:val="1"/>
                <w:bCs w:val="1"/>
                <w:color w:val="auto"/>
                <w:w w:val="94"/>
                <w:vertAlign w:val="superscript"/>
              </w:rPr>
              <w:t>(2)</w:t>
            </w: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20"/>
        <w:spacing w:after="0" w:line="268" w:lineRule="auto"/>
        <w:rPr>
          <w:sz w:val="20"/>
          <w:szCs w:val="20"/>
          <w:color w:val="auto"/>
        </w:rPr>
      </w:pPr>
      <w:r>
        <w:rPr>
          <w:rFonts w:ascii="Times New Roman" w:cs="Times New Roman" w:eastAsia="Times New Roman" w:hAnsi="Times New Roman"/>
          <w:sz w:val="11"/>
          <w:szCs w:val="11"/>
          <w:i w:val="1"/>
          <w:iCs w:val="1"/>
          <w:color w:val="auto"/>
        </w:rPr>
        <w:t>In thousands (including share and per share data)</w:t>
      </w:r>
    </w:p>
    <w:p>
      <w:pPr>
        <w:spacing w:after="0" w:line="20" w:lineRule="exact"/>
        <w:rPr>
          <w:sz w:val="20"/>
          <w:szCs w:val="20"/>
          <w:color w:val="auto"/>
        </w:rPr>
      </w:pPr>
    </w:p>
    <w:p>
      <w:pPr>
        <w:ind w:left="20" w:right="100"/>
        <w:spacing w:after="0" w:line="324" w:lineRule="auto"/>
        <w:rPr>
          <w:sz w:val="20"/>
          <w:szCs w:val="20"/>
          <w:color w:val="auto"/>
        </w:rPr>
      </w:pPr>
      <w:r>
        <w:rPr>
          <w:rFonts w:ascii="Times New Roman" w:cs="Times New Roman" w:eastAsia="Times New Roman" w:hAnsi="Times New Roman"/>
          <w:sz w:val="10"/>
          <w:szCs w:val="10"/>
          <w:b w:val="1"/>
          <w:bCs w:val="1"/>
          <w:i w:val="1"/>
          <w:iCs w:val="1"/>
          <w:color w:val="auto"/>
        </w:rPr>
        <w:t>Three Months Ended September 30, 2023</w:t>
      </w:r>
    </w:p>
    <w:p>
      <w:pPr>
        <w:ind w:left="20" w:right="1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June 30, 2023</w:t>
      </w:r>
    </w:p>
    <w:p>
      <w:pPr>
        <w:spacing w:after="0" w:line="11"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1"/>
          <w:szCs w:val="11"/>
          <w:color w:val="auto"/>
        </w:rPr>
        <w:t>Activity prior to reverse recapitalization</w:t>
      </w:r>
    </w:p>
    <w:p>
      <w:pPr>
        <w:spacing w:after="0" w:line="13" w:lineRule="exact"/>
        <w:rPr>
          <w:sz w:val="20"/>
          <w:szCs w:val="20"/>
          <w:color w:val="auto"/>
        </w:rPr>
      </w:pPr>
    </w:p>
    <w:p>
      <w:pPr>
        <w:ind w:left="140"/>
        <w:spacing w:after="0" w:line="287" w:lineRule="auto"/>
        <w:rPr>
          <w:sz w:val="20"/>
          <w:szCs w:val="20"/>
          <w:color w:val="auto"/>
        </w:rPr>
      </w:pPr>
      <w:r>
        <w:rPr>
          <w:rFonts w:ascii="Times New Roman" w:cs="Times New Roman" w:eastAsia="Times New Roman" w:hAnsi="Times New Roman"/>
          <w:sz w:val="10"/>
          <w:szCs w:val="10"/>
          <w:color w:val="auto"/>
        </w:rPr>
        <w:t>Issuance of additional Class A-1 Units</w:t>
      </w:r>
    </w:p>
    <w:p>
      <w:pPr>
        <w:ind w:left="140" w:right="40"/>
        <w:spacing w:after="0" w:line="295" w:lineRule="auto"/>
        <w:rPr>
          <w:sz w:val="20"/>
          <w:szCs w:val="20"/>
          <w:color w:val="auto"/>
        </w:rPr>
      </w:pPr>
      <w:r>
        <w:rPr>
          <w:rFonts w:ascii="Times New Roman" w:cs="Times New Roman" w:eastAsia="Times New Roman" w:hAnsi="Times New Roman"/>
          <w:sz w:val="10"/>
          <w:szCs w:val="10"/>
          <w:color w:val="auto"/>
        </w:rPr>
        <w:t>pursuant to the Anti-Dilution Feature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Tax distributions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Accumulated Other</w:t>
      </w:r>
    </w:p>
    <w:p>
      <w:pPr>
        <w:spacing w:after="0" w:line="14" w:lineRule="exact"/>
        <w:rPr>
          <w:sz w:val="20"/>
          <w:szCs w:val="20"/>
          <w:color w:val="auto"/>
        </w:rPr>
      </w:pPr>
    </w:p>
    <w:p>
      <w:pPr>
        <w:ind w:left="140" w:right="260"/>
        <w:spacing w:after="0" w:line="318" w:lineRule="auto"/>
        <w:rPr>
          <w:sz w:val="20"/>
          <w:szCs w:val="20"/>
          <w:color w:val="auto"/>
        </w:rPr>
      </w:pPr>
      <w:r>
        <w:rPr>
          <w:rFonts w:ascii="Times New Roman" w:cs="Times New Roman" w:eastAsia="Times New Roman" w:hAnsi="Times New Roman"/>
          <w:sz w:val="10"/>
          <w:szCs w:val="10"/>
          <w:color w:val="auto"/>
        </w:rPr>
        <w:t>Comprehensive Income</w:t>
      </w:r>
    </w:p>
    <w:p>
      <w:pPr>
        <w:spacing w:after="0" w:line="1" w:lineRule="exact"/>
        <w:rPr>
          <w:sz w:val="20"/>
          <w:szCs w:val="20"/>
          <w:color w:val="auto"/>
        </w:rPr>
      </w:pPr>
    </w:p>
    <w:p>
      <w:pPr>
        <w:ind w:left="140" w:right="340"/>
        <w:spacing w:after="0" w:line="324" w:lineRule="auto"/>
        <w:rPr>
          <w:sz w:val="20"/>
          <w:szCs w:val="20"/>
          <w:color w:val="auto"/>
        </w:rPr>
      </w:pPr>
      <w:r>
        <w:rPr>
          <w:rFonts w:ascii="Times New Roman" w:cs="Times New Roman" w:eastAsia="Times New Roman" w:hAnsi="Times New Roman"/>
          <w:sz w:val="10"/>
          <w:szCs w:val="10"/>
          <w:color w:val="auto"/>
        </w:rPr>
        <w:t>Equity based compensation</w:t>
      </w: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Reverse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Recapitalization, net</w:t>
      </w:r>
    </w:p>
    <w:p>
      <w:pPr>
        <w:spacing w:after="0" w:line="44" w:lineRule="exact"/>
        <w:rPr>
          <w:sz w:val="20"/>
          <w:szCs w:val="20"/>
          <w:color w:val="auto"/>
        </w:rPr>
      </w:pPr>
    </w:p>
    <w:p>
      <w:pPr>
        <w:ind w:left="20" w:right="140"/>
        <w:spacing w:after="0" w:line="324" w:lineRule="auto"/>
        <w:rPr>
          <w:sz w:val="20"/>
          <w:szCs w:val="20"/>
          <w:color w:val="auto"/>
        </w:rPr>
      </w:pPr>
      <w:r>
        <w:rPr>
          <w:rFonts w:ascii="Times New Roman" w:cs="Times New Roman" w:eastAsia="Times New Roman" w:hAnsi="Times New Roman"/>
          <w:sz w:val="10"/>
          <w:szCs w:val="10"/>
          <w:color w:val="auto"/>
        </w:rPr>
        <w:t>Activity after reverse recapitalization</w:t>
      </w:r>
    </w:p>
    <w:p>
      <w:pPr>
        <w:ind w:left="140" w:right="20"/>
        <w:spacing w:after="0" w:line="324" w:lineRule="auto"/>
        <w:rPr>
          <w:sz w:val="20"/>
          <w:szCs w:val="20"/>
          <w:color w:val="auto"/>
        </w:rPr>
      </w:pPr>
      <w:r>
        <w:rPr>
          <w:rFonts w:ascii="Times New Roman" w:cs="Times New Roman" w:eastAsia="Times New Roman" w:hAnsi="Times New Roman"/>
          <w:sz w:val="10"/>
          <w:szCs w:val="10"/>
          <w:color w:val="auto"/>
        </w:rPr>
        <w:t>Other comprehensive income</w:t>
      </w:r>
    </w:p>
    <w:p>
      <w:pPr>
        <w:ind w:left="140"/>
        <w:spacing w:after="0"/>
        <w:rPr>
          <w:sz w:val="20"/>
          <w:szCs w:val="20"/>
          <w:color w:val="auto"/>
        </w:rPr>
      </w:pPr>
      <w:r>
        <w:rPr>
          <w:rFonts w:ascii="Times New Roman" w:cs="Times New Roman" w:eastAsia="Times New Roman" w:hAnsi="Times New Roman"/>
          <w:sz w:val="11"/>
          <w:szCs w:val="11"/>
          <w:color w:val="auto"/>
        </w:rPr>
        <w:t>Net loss after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reverse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recapitalization</w:t>
      </w:r>
    </w:p>
    <w:p>
      <w:pPr>
        <w:spacing w:after="0" w:line="42" w:lineRule="exact"/>
        <w:rPr>
          <w:sz w:val="20"/>
          <w:szCs w:val="20"/>
          <w:color w:val="auto"/>
        </w:rPr>
      </w:pPr>
    </w:p>
    <w:p>
      <w:pPr>
        <w:ind w:left="20"/>
        <w:spacing w:after="0" w:line="309" w:lineRule="auto"/>
        <w:rPr>
          <w:sz w:val="20"/>
          <w:szCs w:val="20"/>
          <w:color w:val="auto"/>
        </w:rPr>
      </w:pPr>
      <w:r>
        <w:rPr>
          <w:rFonts w:ascii="Times New Roman" w:cs="Times New Roman" w:eastAsia="Times New Roman" w:hAnsi="Times New Roman"/>
          <w:sz w:val="10"/>
          <w:szCs w:val="10"/>
          <w:b w:val="1"/>
          <w:bCs w:val="1"/>
          <w:color w:val="auto"/>
        </w:rPr>
        <w:t>Fair value adjustment to redeemable noncontrolling interest</w:t>
      </w:r>
    </w:p>
    <w:p>
      <w:pPr>
        <w:spacing w:after="0" w:line="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r>
              <w:rPr>
                <w:rFonts w:ascii="Times New Roman" w:cs="Times New Roman" w:eastAsia="Times New Roman" w:hAnsi="Times New Roman"/>
                <w:sz w:val="7"/>
                <w:szCs w:val="7"/>
                <w:b w:val="1"/>
                <w:bCs w:val="1"/>
                <w:color w:val="auto"/>
              </w:rPr>
              <w:t>(1)</w:t>
            </w:r>
          </w:p>
        </w:tc>
        <w:tc>
          <w:tcPr>
            <w:tcW w:w="4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AOCI</w:t>
            </w:r>
            <w:r>
              <w:rPr>
                <w:rFonts w:ascii="Times New Roman" w:cs="Times New Roman" w:eastAsia="Times New Roman" w:hAnsi="Times New Roman"/>
                <w:sz w:val="7"/>
                <w:szCs w:val="7"/>
                <w:b w:val="1"/>
                <w:bCs w:val="1"/>
                <w:color w:val="auto"/>
                <w:w w:val="97"/>
              </w:rPr>
              <w:t>(1)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52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9"/>
                <w:szCs w:val="9"/>
                <w:color w:val="auto"/>
              </w:rPr>
            </w:pP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9"/>
                <w:szCs w:val="9"/>
                <w:color w:val="auto"/>
              </w:rPr>
            </w:pPr>
          </w:p>
        </w:tc>
        <w:tc>
          <w:tcPr>
            <w:tcW w:w="3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9"/>
                <w:szCs w:val="9"/>
                <w:color w:val="auto"/>
              </w:rPr>
            </w:pPr>
          </w:p>
        </w:tc>
        <w:tc>
          <w:tcPr>
            <w:tcW w:w="28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6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28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50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11"/>
                <w:szCs w:val="11"/>
                <w:color w:val="auto"/>
              </w:rPr>
            </w:pPr>
          </w:p>
        </w:tc>
        <w:tc>
          <w:tcPr>
            <w:tcW w:w="5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62,897</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2,282</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31,040</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4,704</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44,753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718</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7,185</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7,185</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6"/>
                <w:szCs w:val="16"/>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4,874</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(15,490)</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36,873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9"/>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5"/>
              </w:rPr>
              <w:t>(38,225)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(5,615)</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7"/>
              </w:rPr>
              <w:t>(90)</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(35,429)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(11,924)</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344,371</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(344,371)</w:t>
            </w:r>
          </w:p>
        </w:tc>
        <w:tc>
          <w:tcPr>
            <w:tcW w:w="0" w:type="dxa"/>
            <w:vAlign w:val="bottom"/>
          </w:tcPr>
          <w:p>
            <w:pPr>
              <w:spacing w:after="0"/>
              <w:rPr>
                <w:sz w:val="1"/>
                <w:szCs w:val="1"/>
                <w:color w:val="auto"/>
              </w:rPr>
            </w:pPr>
          </w:p>
        </w:tc>
      </w:tr>
      <w:tr>
        <w:trPr>
          <w:trHeight w:val="36"/>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369,329</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(341,356)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(341,223)</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-3034030</wp:posOffset>
            </wp:positionV>
            <wp:extent cx="71323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-2639695</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-2082800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-1679575</wp:posOffset>
            </wp:positionV>
            <wp:extent cx="713232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-1362710</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-968375</wp:posOffset>
            </wp:positionV>
            <wp:extent cx="71323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-488315</wp:posOffset>
            </wp:positionV>
            <wp:extent cx="71323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0"/>
            <w:col w:w="10120"/>
          </w:cols>
          <w:pgMar w:left="320" w:top="121" w:right="339" w:bottom="1440" w:gutter="0" w:footer="0" w:header="0"/>
          <w:type w:val="continuous"/>
        </w:sectPr>
      </w:pPr>
    </w:p>
    <w:p>
      <w:pPr>
        <w:spacing w:after="0" w:line="47" w:lineRule="exact"/>
        <w:rPr>
          <w:sz w:val="20"/>
          <w:szCs w:val="20"/>
          <w:color w:val="auto"/>
        </w:rPr>
      </w:pPr>
    </w:p>
    <w:p>
      <w:pPr>
        <w:ind w:right="7880" w:firstLine="8"/>
        <w:spacing w:after="0" w:line="291" w:lineRule="auto"/>
        <w:tabs>
          <w:tab w:leader="none" w:pos="145"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acronyms in the table above are defined as follows: APIC - Accumulated paid in capital</w:t>
      </w:r>
    </w:p>
    <w:p>
      <w:pPr>
        <w:spacing w:after="0" w:line="1" w:lineRule="exact"/>
        <w:rPr>
          <w:rFonts w:ascii="Times New Roman" w:cs="Times New Roman" w:eastAsia="Times New Roman" w:hAnsi="Times New Roman"/>
          <w:sz w:val="9"/>
          <w:szCs w:val="9"/>
          <w:color w:val="auto"/>
        </w:rPr>
      </w:pPr>
    </w:p>
    <w:p>
      <w:pPr>
        <w:ind w:right="7920"/>
        <w:spacing w:after="0" w:line="322" w:lineRule="auto"/>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AOCI - Accumulated other comprehensive income NCI - Mezzanine equity classified noncontrolling interest</w:t>
      </w:r>
    </w:p>
    <w:p>
      <w:pPr>
        <w:spacing w:after="0" w:line="108" w:lineRule="exact"/>
        <w:rPr>
          <w:rFonts w:ascii="Times New Roman" w:cs="Times New Roman" w:eastAsia="Times New Roman" w:hAnsi="Times New Roman"/>
          <w:sz w:val="9"/>
          <w:szCs w:val="9"/>
          <w:color w:val="auto"/>
        </w:rPr>
      </w:pPr>
    </w:p>
    <w:p>
      <w:pPr>
        <w:ind w:right="100" w:firstLine="8"/>
        <w:spacing w:after="0" w:line="248"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activity reflects the issuance of the AON LLC Class C Units, the conversion of AON LLC Class C Units to AON LLC Series A Preferred Units, and the exchange of AON LLC Series A Preferred Units for Series A Preferred Stock, in accordance with the Business Combination. Refer to Note - 1 for the description of the Business Combination and Note 13 for the summary of equity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 Equity -</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w:t>
            </w:r>
          </w:p>
        </w:tc>
        <w:tc>
          <w:tcPr>
            <w:tcW w:w="96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20" w:type="dxa"/>
            <w:vAlign w:val="bottom"/>
            <w:vMerge w:val="restart"/>
            <w:shd w:val="clear" w:color="auto" w:fill="CCEEFF"/>
          </w:tcPr>
          <w:p>
            <w:pPr>
              <w:jc w:val="center"/>
              <w:ind w:left="69"/>
              <w:spacing w:after="0"/>
              <w:rPr>
                <w:sz w:val="20"/>
                <w:szCs w:val="20"/>
                <w:color w:val="auto"/>
              </w:rPr>
            </w:pPr>
            <w:r>
              <w:rPr>
                <w:rFonts w:ascii="Times New Roman" w:cs="Times New Roman" w:eastAsia="Times New Roman" w:hAnsi="Times New Roman"/>
                <w:sz w:val="11"/>
                <w:szCs w:val="11"/>
                <w:b w:val="1"/>
                <w:bCs w:val="1"/>
                <w:color w:val="auto"/>
                <w:w w:val="97"/>
              </w:rPr>
              <w:t>Class A-1</w:t>
            </w:r>
          </w:p>
        </w:tc>
        <w:tc>
          <w:tcPr>
            <w:tcW w:w="18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C Units</w:t>
            </w:r>
          </w:p>
        </w:tc>
        <w:tc>
          <w:tcPr>
            <w:tcW w:w="480" w:type="dxa"/>
            <w:vAlign w:val="bottom"/>
            <w:shd w:val="clear" w:color="auto" w:fill="CCEEFF"/>
          </w:tcPr>
          <w:p>
            <w:pPr>
              <w:ind w:left="10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NCI</w:t>
            </w:r>
            <w:r>
              <w:rPr>
                <w:rFonts w:ascii="Times New Roman" w:cs="Times New Roman" w:eastAsia="Times New Roman" w:hAnsi="Times New Roman"/>
                <w:sz w:val="7"/>
                <w:szCs w:val="7"/>
                <w:b w:val="1"/>
                <w:bCs w:val="1"/>
                <w:color w:val="auto"/>
              </w:rPr>
              <w:t>(1)</w:t>
            </w:r>
          </w:p>
        </w:tc>
        <w:tc>
          <w:tcPr>
            <w:tcW w:w="9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Units   Class B-1 Units</w:t>
            </w:r>
          </w:p>
        </w:tc>
        <w:tc>
          <w:tcPr>
            <w:tcW w:w="0" w:type="dxa"/>
            <w:vAlign w:val="bottom"/>
          </w:tcPr>
          <w:p>
            <w:pPr>
              <w:spacing w:after="0"/>
              <w:rPr>
                <w:sz w:val="1"/>
                <w:szCs w:val="1"/>
                <w:color w:val="auto"/>
              </w:rPr>
            </w:pPr>
          </w:p>
        </w:tc>
      </w:tr>
      <w:tr>
        <w:trPr>
          <w:trHeight w:val="91"/>
        </w:trPr>
        <w:tc>
          <w:tcPr>
            <w:tcW w:w="1120" w:type="dxa"/>
            <w:vAlign w:val="bottom"/>
            <w:shd w:val="clear" w:color="auto" w:fill="CCEEFF"/>
          </w:tcPr>
          <w:p>
            <w:pPr>
              <w:spacing w:after="0"/>
              <w:rPr>
                <w:sz w:val="7"/>
                <w:szCs w:val="7"/>
                <w:color w:val="auto"/>
              </w:rPr>
            </w:pPr>
          </w:p>
        </w:tc>
        <w:tc>
          <w:tcPr>
            <w:tcW w:w="11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exchanged for Series</w:t>
            </w: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9"/>
              <w:spacing w:after="0" w:line="92"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shd w:val="clear" w:color="auto" w:fill="CCEEFF"/>
          </w:tcPr>
          <w:p>
            <w:pPr>
              <w:jc w:val="center"/>
              <w:ind w:right="69"/>
              <w:spacing w:after="0" w:line="92"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800" w:type="dxa"/>
            <w:vAlign w:val="bottom"/>
            <w:shd w:val="clear" w:color="auto" w:fill="CCEEFF"/>
          </w:tcPr>
          <w:p>
            <w:pPr>
              <w:jc w:val="center"/>
              <w:ind w:right="2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920" w:type="dxa"/>
            <w:vAlign w:val="bottom"/>
            <w:shd w:val="clear" w:color="auto" w:fill="CCEEFF"/>
          </w:tcPr>
          <w:p>
            <w:pPr>
              <w:jc w:val="center"/>
              <w:ind w:left="8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180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xml:space="preserve">A Preferred Stock </w:t>
            </w:r>
            <w:r>
              <w:rPr>
                <w:rFonts w:ascii="Times New Roman" w:cs="Times New Roman" w:eastAsia="Times New Roman" w:hAnsi="Times New Roman"/>
                <w:sz w:val="14"/>
                <w:szCs w:val="14"/>
                <w:b w:val="1"/>
                <w:bCs w:val="1"/>
                <w:color w:val="auto"/>
                <w:w w:val="94"/>
                <w:vertAlign w:val="superscript"/>
              </w:rPr>
              <w:t>(2)</w:t>
            </w: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20"/>
        <w:spacing w:after="0" w:line="268" w:lineRule="auto"/>
        <w:rPr>
          <w:sz w:val="20"/>
          <w:szCs w:val="20"/>
          <w:color w:val="auto"/>
        </w:rPr>
      </w:pPr>
      <w:r>
        <w:rPr>
          <w:rFonts w:ascii="Times New Roman" w:cs="Times New Roman" w:eastAsia="Times New Roman" w:hAnsi="Times New Roman"/>
          <w:sz w:val="11"/>
          <w:szCs w:val="11"/>
          <w:i w:val="1"/>
          <w:iCs w:val="1"/>
          <w:color w:val="auto"/>
        </w:rPr>
        <w:t>In thousands (including share and per share data)</w:t>
      </w:r>
    </w:p>
    <w:p>
      <w:pPr>
        <w:spacing w:after="0" w:line="20" w:lineRule="exact"/>
        <w:rPr>
          <w:sz w:val="20"/>
          <w:szCs w:val="20"/>
          <w:color w:val="auto"/>
        </w:rPr>
      </w:pPr>
    </w:p>
    <w:p>
      <w:pPr>
        <w:ind w:left="20" w:right="160"/>
        <w:spacing w:after="0" w:line="324" w:lineRule="auto"/>
        <w:rPr>
          <w:sz w:val="20"/>
          <w:szCs w:val="20"/>
          <w:color w:val="auto"/>
        </w:rPr>
      </w:pPr>
      <w:r>
        <w:rPr>
          <w:rFonts w:ascii="Times New Roman" w:cs="Times New Roman" w:eastAsia="Times New Roman" w:hAnsi="Times New Roman"/>
          <w:sz w:val="10"/>
          <w:szCs w:val="10"/>
          <w:b w:val="1"/>
          <w:bCs w:val="1"/>
          <w:i w:val="1"/>
          <w:iCs w:val="1"/>
          <w:color w:val="auto"/>
        </w:rPr>
        <w:t>Nine Months Ended September 30, 2023</w:t>
      </w:r>
    </w:p>
    <w:p>
      <w:pPr>
        <w:ind w:left="20" w:right="4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December 31, 2022</w:t>
      </w:r>
    </w:p>
    <w:p>
      <w:pPr>
        <w:spacing w:after="0" w:line="11"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1"/>
          <w:szCs w:val="11"/>
          <w:color w:val="auto"/>
        </w:rPr>
        <w:t>Activity prior to reverse recapitalization</w:t>
      </w:r>
    </w:p>
    <w:p>
      <w:pPr>
        <w:spacing w:after="0" w:line="13" w:lineRule="exact"/>
        <w:rPr>
          <w:sz w:val="20"/>
          <w:szCs w:val="20"/>
          <w:color w:val="auto"/>
        </w:rPr>
      </w:pPr>
    </w:p>
    <w:p>
      <w:pPr>
        <w:ind w:left="140" w:right="40"/>
        <w:spacing w:after="0" w:line="269" w:lineRule="auto"/>
        <w:rPr>
          <w:sz w:val="20"/>
          <w:szCs w:val="20"/>
          <w:color w:val="auto"/>
        </w:rPr>
      </w:pPr>
      <w:r>
        <w:rPr>
          <w:rFonts w:ascii="Times New Roman" w:cs="Times New Roman" w:eastAsia="Times New Roman" w:hAnsi="Times New Roman"/>
          <w:sz w:val="11"/>
          <w:szCs w:val="11"/>
          <w:color w:val="auto"/>
        </w:rPr>
        <w:t>Issuance of Class C Units, net of offering costs</w:t>
      </w:r>
    </w:p>
    <w:p>
      <w:pPr>
        <w:spacing w:after="0" w:line="20" w:lineRule="exact"/>
        <w:rPr>
          <w:sz w:val="20"/>
          <w:szCs w:val="20"/>
          <w:color w:val="auto"/>
        </w:rPr>
      </w:pPr>
    </w:p>
    <w:p>
      <w:pPr>
        <w:ind w:left="140" w:right="220"/>
        <w:spacing w:after="0" w:line="324" w:lineRule="auto"/>
        <w:rPr>
          <w:sz w:val="20"/>
          <w:szCs w:val="20"/>
          <w:color w:val="auto"/>
        </w:rPr>
      </w:pPr>
      <w:r>
        <w:rPr>
          <w:rFonts w:ascii="Times New Roman" w:cs="Times New Roman" w:eastAsia="Times New Roman" w:hAnsi="Times New Roman"/>
          <w:sz w:val="10"/>
          <w:szCs w:val="10"/>
          <w:color w:val="auto"/>
        </w:rPr>
        <w:t>Class A and A-1 preferred returns</w:t>
      </w:r>
    </w:p>
    <w:p>
      <w:pPr>
        <w:ind w:left="140"/>
        <w:spacing w:after="0" w:line="287" w:lineRule="auto"/>
        <w:rPr>
          <w:sz w:val="20"/>
          <w:szCs w:val="20"/>
          <w:color w:val="auto"/>
        </w:rPr>
      </w:pPr>
      <w:r>
        <w:rPr>
          <w:rFonts w:ascii="Times New Roman" w:cs="Times New Roman" w:eastAsia="Times New Roman" w:hAnsi="Times New Roman"/>
          <w:sz w:val="10"/>
          <w:szCs w:val="10"/>
          <w:color w:val="auto"/>
        </w:rPr>
        <w:t>Issuance of additional Class A-1 Units</w:t>
      </w:r>
    </w:p>
    <w:p>
      <w:pPr>
        <w:ind w:left="140" w:right="40"/>
        <w:spacing w:after="0" w:line="295" w:lineRule="auto"/>
        <w:rPr>
          <w:sz w:val="20"/>
          <w:szCs w:val="20"/>
          <w:color w:val="auto"/>
        </w:rPr>
      </w:pPr>
      <w:r>
        <w:rPr>
          <w:rFonts w:ascii="Times New Roman" w:cs="Times New Roman" w:eastAsia="Times New Roman" w:hAnsi="Times New Roman"/>
          <w:sz w:val="10"/>
          <w:szCs w:val="10"/>
          <w:color w:val="auto"/>
        </w:rPr>
        <w:t>pursuant to the Anti-Dilution Feature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Tax distributions</w:t>
      </w:r>
    </w:p>
    <w:p>
      <w:pPr>
        <w:spacing w:after="0" w:line="63" w:lineRule="exact"/>
        <w:rPr>
          <w:sz w:val="20"/>
          <w:szCs w:val="20"/>
          <w:color w:val="auto"/>
        </w:rPr>
      </w:pPr>
    </w:p>
    <w:p>
      <w:pPr>
        <w:jc w:val="both"/>
        <w:ind w:left="140" w:right="80"/>
        <w:spacing w:after="0" w:line="308" w:lineRule="auto"/>
        <w:rPr>
          <w:sz w:val="20"/>
          <w:szCs w:val="20"/>
          <w:color w:val="auto"/>
        </w:rPr>
      </w:pPr>
      <w:r>
        <w:rPr>
          <w:rFonts w:ascii="Times New Roman" w:cs="Times New Roman" w:eastAsia="Times New Roman" w:hAnsi="Times New Roman"/>
          <w:sz w:val="10"/>
          <w:szCs w:val="10"/>
          <w:color w:val="auto"/>
        </w:rPr>
        <w:t>Capital contribution from noncontrolling interest member</w:t>
      </w:r>
    </w:p>
    <w:p>
      <w:pPr>
        <w:spacing w:after="0" w:line="3" w:lineRule="exact"/>
        <w:rPr>
          <w:sz w:val="20"/>
          <w:szCs w:val="20"/>
          <w:color w:val="auto"/>
        </w:rPr>
      </w:pPr>
    </w:p>
    <w:p>
      <w:pPr>
        <w:ind w:left="140" w:right="100"/>
        <w:spacing w:after="0" w:line="308" w:lineRule="auto"/>
        <w:rPr>
          <w:sz w:val="20"/>
          <w:szCs w:val="20"/>
          <w:color w:val="auto"/>
        </w:rPr>
      </w:pPr>
      <w:r>
        <w:rPr>
          <w:rFonts w:ascii="Times New Roman" w:cs="Times New Roman" w:eastAsia="Times New Roman" w:hAnsi="Times New Roman"/>
          <w:sz w:val="10"/>
          <w:szCs w:val="10"/>
          <w:color w:val="auto"/>
        </w:rPr>
        <w:t>Accumulated Other Comprehensive Income</w:t>
      </w:r>
    </w:p>
    <w:p>
      <w:pPr>
        <w:spacing w:after="0" w:line="3" w:lineRule="exact"/>
        <w:rPr>
          <w:sz w:val="20"/>
          <w:szCs w:val="20"/>
          <w:color w:val="auto"/>
        </w:rPr>
      </w:pPr>
    </w:p>
    <w:p>
      <w:pPr>
        <w:ind w:left="140" w:right="340"/>
        <w:spacing w:after="0" w:line="324" w:lineRule="auto"/>
        <w:rPr>
          <w:sz w:val="20"/>
          <w:szCs w:val="20"/>
          <w:color w:val="auto"/>
        </w:rPr>
      </w:pPr>
      <w:r>
        <w:rPr>
          <w:rFonts w:ascii="Times New Roman" w:cs="Times New Roman" w:eastAsia="Times New Roman" w:hAnsi="Times New Roman"/>
          <w:sz w:val="10"/>
          <w:szCs w:val="10"/>
          <w:color w:val="auto"/>
        </w:rPr>
        <w:t>Equity based compensation</w:t>
      </w: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Reverse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Recapitalization, net</w:t>
      </w:r>
    </w:p>
    <w:p>
      <w:pPr>
        <w:spacing w:after="0" w:line="44" w:lineRule="exact"/>
        <w:rPr>
          <w:sz w:val="20"/>
          <w:szCs w:val="20"/>
          <w:color w:val="auto"/>
        </w:rPr>
      </w:pPr>
    </w:p>
    <w:p>
      <w:pPr>
        <w:ind w:left="20" w:right="140"/>
        <w:spacing w:after="0" w:line="324" w:lineRule="auto"/>
        <w:rPr>
          <w:sz w:val="20"/>
          <w:szCs w:val="20"/>
          <w:color w:val="auto"/>
        </w:rPr>
      </w:pPr>
      <w:r>
        <w:rPr>
          <w:rFonts w:ascii="Times New Roman" w:cs="Times New Roman" w:eastAsia="Times New Roman" w:hAnsi="Times New Roman"/>
          <w:sz w:val="10"/>
          <w:szCs w:val="10"/>
          <w:color w:val="auto"/>
        </w:rPr>
        <w:t>Activity after reverse recapitalization</w:t>
      </w:r>
    </w:p>
    <w:p>
      <w:pPr>
        <w:ind w:left="140" w:right="20"/>
        <w:spacing w:after="0" w:line="324" w:lineRule="auto"/>
        <w:rPr>
          <w:sz w:val="20"/>
          <w:szCs w:val="20"/>
          <w:color w:val="auto"/>
        </w:rPr>
      </w:pPr>
      <w:r>
        <w:rPr>
          <w:rFonts w:ascii="Times New Roman" w:cs="Times New Roman" w:eastAsia="Times New Roman" w:hAnsi="Times New Roman"/>
          <w:sz w:val="10"/>
          <w:szCs w:val="10"/>
          <w:color w:val="auto"/>
        </w:rPr>
        <w:t>Other comprehensive income</w:t>
      </w:r>
    </w:p>
    <w:p>
      <w:pPr>
        <w:ind w:left="140"/>
        <w:spacing w:after="0"/>
        <w:rPr>
          <w:sz w:val="20"/>
          <w:szCs w:val="20"/>
          <w:color w:val="auto"/>
        </w:rPr>
      </w:pPr>
      <w:r>
        <w:rPr>
          <w:rFonts w:ascii="Times New Roman" w:cs="Times New Roman" w:eastAsia="Times New Roman" w:hAnsi="Times New Roman"/>
          <w:sz w:val="11"/>
          <w:szCs w:val="11"/>
          <w:color w:val="auto"/>
        </w:rPr>
        <w:t>Net loss after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reverse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recapitalization</w:t>
      </w:r>
    </w:p>
    <w:p>
      <w:pPr>
        <w:spacing w:after="0" w:line="42" w:lineRule="exact"/>
        <w:rPr>
          <w:sz w:val="20"/>
          <w:szCs w:val="20"/>
          <w:color w:val="auto"/>
        </w:rPr>
      </w:pPr>
    </w:p>
    <w:p>
      <w:pPr>
        <w:ind w:left="20"/>
        <w:spacing w:after="0" w:line="309" w:lineRule="auto"/>
        <w:rPr>
          <w:sz w:val="20"/>
          <w:szCs w:val="20"/>
          <w:color w:val="auto"/>
        </w:rPr>
      </w:pPr>
      <w:r>
        <w:rPr>
          <w:rFonts w:ascii="Times New Roman" w:cs="Times New Roman" w:eastAsia="Times New Roman" w:hAnsi="Times New Roman"/>
          <w:sz w:val="10"/>
          <w:szCs w:val="10"/>
          <w:b w:val="1"/>
          <w:bCs w:val="1"/>
          <w:color w:val="auto"/>
        </w:rPr>
        <w:t>Fair value adjustment to redeemable noncontrolling interest</w:t>
      </w:r>
    </w:p>
    <w:p>
      <w:pPr>
        <w:spacing w:after="0" w:line="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r>
              <w:rPr>
                <w:rFonts w:ascii="Times New Roman" w:cs="Times New Roman" w:eastAsia="Times New Roman" w:hAnsi="Times New Roman"/>
                <w:sz w:val="7"/>
                <w:szCs w:val="7"/>
                <w:b w:val="1"/>
                <w:bCs w:val="1"/>
                <w:color w:val="auto"/>
              </w:rPr>
              <w:t>(1)</w:t>
            </w:r>
          </w:p>
        </w:tc>
        <w:tc>
          <w:tcPr>
            <w:tcW w:w="4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AOCI</w:t>
            </w:r>
            <w:r>
              <w:rPr>
                <w:rFonts w:ascii="Times New Roman" w:cs="Times New Roman" w:eastAsia="Times New Roman" w:hAnsi="Times New Roman"/>
                <w:sz w:val="7"/>
                <w:szCs w:val="7"/>
                <w:b w:val="1"/>
                <w:bCs w:val="1"/>
                <w:color w:val="auto"/>
                <w:w w:val="97"/>
              </w:rPr>
              <w:t>(1)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52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9"/>
                <w:szCs w:val="9"/>
                <w:color w:val="auto"/>
              </w:rPr>
            </w:pP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9"/>
                <w:szCs w:val="9"/>
                <w:color w:val="auto"/>
              </w:rPr>
            </w:pPr>
          </w:p>
        </w:tc>
        <w:tc>
          <w:tcPr>
            <w:tcW w:w="3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9"/>
                <w:szCs w:val="9"/>
                <w:color w:val="auto"/>
              </w:rPr>
            </w:pPr>
          </w:p>
        </w:tc>
        <w:tc>
          <w:tcPr>
            <w:tcW w:w="28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6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28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50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11"/>
                <w:szCs w:val="11"/>
                <w:color w:val="auto"/>
              </w:rPr>
            </w:pPr>
          </w:p>
        </w:tc>
        <w:tc>
          <w:tcPr>
            <w:tcW w:w="5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1,843</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28,500</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4,704</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25,828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62,016</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62,897</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(8,174)</w:t>
            </w:r>
          </w:p>
        </w:tc>
        <w:tc>
          <w:tcPr>
            <w:tcW w:w="0" w:type="dxa"/>
            <w:vAlign w:val="bottom"/>
          </w:tcPr>
          <w:p>
            <w:pPr>
              <w:spacing w:after="0"/>
              <w:rPr>
                <w:sz w:val="1"/>
                <w:szCs w:val="1"/>
                <w:color w:val="auto"/>
              </w:rPr>
            </w:pPr>
          </w:p>
        </w:tc>
      </w:tr>
      <w:tr>
        <w:trPr>
          <w:trHeight w:val="567"/>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1,157</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9,725</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9,725</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6"/>
                <w:szCs w:val="16"/>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4,874</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(27,081)</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36,873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9"/>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5"/>
              </w:rPr>
              <w:t>(38,225)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(5,615)</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7"/>
              </w:rPr>
              <w:t>(90)</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(35,429)</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(11,924)</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344,371</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(344,371)</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369,329</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(341,356)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(341,223)</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-3796665</wp:posOffset>
            </wp:positionV>
            <wp:extent cx="71323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-3402330</wp:posOffset>
            </wp:positionV>
            <wp:extent cx="71323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-2922270</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-2365375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-1962150</wp:posOffset>
            </wp:positionV>
            <wp:extent cx="713232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-1482090</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-1165225</wp:posOffset>
            </wp:positionV>
            <wp:extent cx="71323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-770890</wp:posOffset>
            </wp:positionV>
            <wp:extent cx="7132320"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-205105</wp:posOffset>
            </wp:positionV>
            <wp:extent cx="713232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0"/>
            <w:col w:w="10120"/>
          </w:cols>
          <w:pgMar w:left="320" w:top="121" w:right="339" w:bottom="1440" w:gutter="0" w:footer="0" w:header="0"/>
          <w:type w:val="continuous"/>
        </w:sectPr>
      </w:pPr>
    </w:p>
    <w:p>
      <w:pPr>
        <w:spacing w:after="0" w:line="155" w:lineRule="exact"/>
        <w:rPr>
          <w:sz w:val="20"/>
          <w:szCs w:val="20"/>
          <w:color w:val="auto"/>
        </w:rPr>
      </w:pPr>
    </w:p>
    <w:p>
      <w:pPr>
        <w:ind w:right="7880" w:firstLine="8"/>
        <w:spacing w:after="0" w:line="262" w:lineRule="auto"/>
        <w:tabs>
          <w:tab w:leader="none" w:pos="14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acronyms in the table above are defined as follows: APIC - Accumulated paid in capital</w:t>
      </w:r>
    </w:p>
    <w:p>
      <w:pPr>
        <w:spacing w:after="0" w:line="1" w:lineRule="exact"/>
        <w:rPr>
          <w:rFonts w:ascii="Times New Roman" w:cs="Times New Roman" w:eastAsia="Times New Roman" w:hAnsi="Times New Roman"/>
          <w:sz w:val="17"/>
          <w:szCs w:val="17"/>
          <w:color w:val="auto"/>
          <w:vertAlign w:val="superscript"/>
        </w:rPr>
      </w:pPr>
    </w:p>
    <w:p>
      <w:pPr>
        <w:ind w:right="7920"/>
        <w:spacing w:after="0" w:line="32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AOCI - Accumulated other comprehensive income NCI - Mezzanine equity classified noncontrolling interest</w:t>
      </w:r>
    </w:p>
    <w:p>
      <w:pPr>
        <w:spacing w:after="0" w:line="108" w:lineRule="exact"/>
        <w:rPr>
          <w:rFonts w:ascii="Times New Roman" w:cs="Times New Roman" w:eastAsia="Times New Roman" w:hAnsi="Times New Roman"/>
          <w:sz w:val="17"/>
          <w:szCs w:val="17"/>
          <w:color w:val="auto"/>
          <w:vertAlign w:val="superscript"/>
        </w:rPr>
      </w:pPr>
    </w:p>
    <w:p>
      <w:pPr>
        <w:ind w:right="100" w:firstLine="8"/>
        <w:spacing w:after="0" w:line="263" w:lineRule="auto"/>
        <w:tabs>
          <w:tab w:leader="none" w:pos="14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activity reflects the issuance of the AON LLC Class C Units, the conversion of AON LLC Class C Units to AON LLC Series A Preferred Units, and the exchange of AON LLC Series A Preferred Units for Series A Preferred Stock, in accordance with the Business Combination. Refer to Note - 1 for the description of the Business Combination and Note 13 for the summary of equity instruments.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37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postcombination compensation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(gain) loss of affiliate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right-of-use assets (1)</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adjustments of warrants and derivative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and NCI rebalancing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sale and abandonment of property and equipment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Bargain purchase gain on acquisition of physician practice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(2)</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(3)</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(4)</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7"/>
        </w:trPr>
        <w:tc>
          <w:tcPr>
            <w:tcW w:w="7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and intangible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disposals of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physician practices, net of cash acquired</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notes receivable - related parties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Collections on notes receivable - related parties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redeemable convertible Class C Units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64,996</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and A-1 preferred returns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tax withholding obligation on net RSU settlement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finance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financing costs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offering costs on Class C issuance</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reverse recapitalization</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7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55,560</w:t>
            </w:r>
          </w:p>
        </w:tc>
      </w:tr>
      <w:tr>
        <w:trPr>
          <w:trHeight w:val="237"/>
        </w:trPr>
        <w:tc>
          <w:tcPr>
            <w:tcW w:w="7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24,727</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26,926</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51,653</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removed in termination of lease</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issued in connection with acquisition of physician practices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 issued in connection with asset acquisition</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accounts payable for capital additions to property and equipment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consideration paid by assumption of note for purchase of physician practice</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offering costs relating to the reverse recapitalization</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 for Series A Preferred Stock extinguishment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bl>
    <w:p>
      <w:pPr>
        <w:spacing w:after="0" w:line="27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amortization of operating right-of-use assets of $1,505 and $1,601 for the nine months ended September 30, 2024 and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($4,462) and $(1,299) for the nine months ended September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$22,801 and $10,627 for the nine months ended September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($1,766) and ($1,835) for the nine months ended September 30, 2024 and 2023,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Oncology Network, Inc. (“AON”, “New AON”, “AON Inc.”, or the “Company”), through its subsidiary companies and variable interest entities (together, “its subsidiaries”), is an alliance of physicians and seasoned healthcare leaders who provide comprehensive oncology services across 38 oncology practices located in twenty states (Arizona, Arkansas, Florida, Georgia, Hawaii, Iowa, Idaho, Indiana, Louisiana, Maryland, Missouri, Michigan, North Carolina, Nevada, Nebraska, Ohio, South Carolina, Texas, Virginia, Washington, and the District of Columbia). The Company also provides expertise in drug procurement and payor contracting, along with practice diversification through centralized laboratory and pathology services, as well as specialty pharmacy services, clinical research, radiation oncology, and imaging. During the nine months ended September 30, 2024, the Company entered into affiliation agreements with or acquired the following oncology practices.</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22860</wp:posOffset>
            </wp:positionV>
            <wp:extent cx="1371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36830</wp:posOffset>
            </wp:positionV>
            <wp:extent cx="137160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18034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Maryland (a)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34290</wp:posOffset>
            </wp:positionV>
            <wp:extent cx="13716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0"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Hawaii (b)</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Georgia (b)</w:t>
      </w:r>
    </w:p>
    <w:p>
      <w:pPr>
        <w:spacing w:after="0" w:line="306" w:lineRule="exact"/>
        <w:rPr>
          <w:sz w:val="20"/>
          <w:szCs w:val="20"/>
          <w:color w:val="auto"/>
        </w:rPr>
      </w:pPr>
    </w:p>
    <w:p>
      <w:pPr>
        <w:ind w:left="900" w:hanging="325"/>
        <w:spacing w:after="0" w:line="261" w:lineRule="auto"/>
        <w:tabs>
          <w:tab w:leader="none" w:pos="8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affiliation agreements with the physicians for these respective practices. The Company evaluated each of the affiliation agreements and determined that the transactions did not represent a business combination.</w:t>
      </w:r>
    </w:p>
    <w:p>
      <w:pPr>
        <w:ind w:left="900" w:hanging="325"/>
        <w:spacing w:after="0" w:line="260" w:lineRule="auto"/>
        <w:tabs>
          <w:tab w:leader="none" w:pos="8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acquisitions which were accounted for as business combinations with the physicians for these respective practices (See Note 5 for further discussion).</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operations of the practices above have been included in the Company’s condensed consolidated financial statements.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or “Reverse Recapitalization”)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spacing w:after="0" w:line="215"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of New AON Class B Common Stock to provide holders voting rights but no economic rights and (c) designation of a new series of New AON preferred stock as Series A convertible preferred stock (the “New AON Series A</w:t>
      </w:r>
    </w:p>
    <w:p>
      <w:pPr>
        <w:jc w:val="both"/>
        <w:ind w:left="580"/>
        <w:spacing w:after="0" w:line="251" w:lineRule="auto"/>
        <w:rPr>
          <w:sz w:val="20"/>
          <w:szCs w:val="20"/>
          <w:color w:val="auto"/>
        </w:rPr>
      </w:pPr>
      <w:r>
        <w:rPr>
          <w:rFonts w:ascii="Times New Roman" w:cs="Times New Roman" w:eastAsia="Times New Roman" w:hAnsi="Times New Roman"/>
          <w:sz w:val="18"/>
          <w:szCs w:val="18"/>
          <w:color w:val="auto"/>
        </w:rPr>
        <w:t>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Shareholders”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w:t>
      </w:r>
    </w:p>
    <w:p>
      <w:pPr>
        <w:spacing w:after="0" w:line="218"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Upon the consummation of the Business Combination, the outstanding membership units in AON LLC and the outstanding shares in AON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AON) were as follows:</w:t>
      </w:r>
    </w:p>
    <w:p>
      <w:pPr>
        <w:spacing w:after="0" w:line="9" w:lineRule="exact"/>
        <w:rPr>
          <w:sz w:val="20"/>
          <w:szCs w:val="20"/>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Common Units held by the Legacy AON Shareholders - 28,109,796</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Common Units held by New AON - 9,532,354</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Series A Preferred Units held by New AON - 6,651,610</w:t>
      </w:r>
    </w:p>
    <w:p>
      <w:pPr>
        <w:spacing w:after="0" w:line="23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former AON LLC Class B-1 unit holders - 1,047,343</w:t>
      </w:r>
    </w:p>
    <w:p>
      <w:pPr>
        <w:spacing w:after="0" w:line="2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DTOC unredeemed shareholders - 147,511</w:t>
      </w:r>
    </w:p>
    <w:p>
      <w:pPr>
        <w:spacing w:after="0" w:line="9" w:lineRule="exact"/>
        <w:rPr>
          <w:rFonts w:ascii="Times New Roman" w:cs="Times New Roman" w:eastAsia="Times New Roman" w:hAnsi="Times New Roman"/>
          <w:sz w:val="18"/>
          <w:szCs w:val="18"/>
          <w:color w:val="auto"/>
        </w:rPr>
      </w:pPr>
    </w:p>
    <w:p>
      <w:pPr>
        <w:ind w:left="1220" w:hanging="321"/>
        <w:spacing w:after="0" w:line="197"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DTOC Sponsor and their permitted transferees - 5,498,125</w:t>
      </w:r>
      <w:r>
        <w:rPr>
          <w:rFonts w:ascii="Times New Roman" w:cs="Times New Roman" w:eastAsia="Times New Roman" w:hAnsi="Times New Roman"/>
          <w:sz w:val="23"/>
          <w:szCs w:val="23"/>
          <w:color w:val="auto"/>
          <w:vertAlign w:val="superscript"/>
        </w:rPr>
        <w:t>(a)</w:t>
      </w:r>
    </w:p>
    <w:p>
      <w:pPr>
        <w:ind w:left="1220" w:hanging="321"/>
        <w:spacing w:after="0" w:line="196"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held by Legacy AON Shareholders - 25,109,551</w:t>
      </w:r>
      <w:r>
        <w:rPr>
          <w:rFonts w:ascii="Times New Roman" w:cs="Times New Roman" w:eastAsia="Times New Roman" w:hAnsi="Times New Roman"/>
          <w:sz w:val="23"/>
          <w:szCs w:val="23"/>
          <w:color w:val="auto"/>
          <w:vertAlign w:val="superscript"/>
        </w:rPr>
        <w:t>(b)</w:t>
      </w: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AON Series A Preferred Stock held by AEA Growth Management LP - 6,651,610</w:t>
      </w:r>
    </w:p>
    <w:p>
      <w:pPr>
        <w:spacing w:after="0" w:line="232" w:lineRule="exact"/>
        <w:rPr>
          <w:rFonts w:ascii="Times New Roman" w:cs="Times New Roman" w:eastAsia="Times New Roman" w:hAnsi="Times New Roman"/>
          <w:sz w:val="18"/>
          <w:szCs w:val="18"/>
          <w:color w:val="auto"/>
        </w:rPr>
      </w:pPr>
    </w:p>
    <w:p>
      <w:pPr>
        <w:ind w:left="580" w:hanging="5"/>
        <w:spacing w:after="0" w:line="229" w:lineRule="auto"/>
        <w:tabs>
          <w:tab w:leader="none" w:pos="75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Sponsor Earnout Shares of 2,839,375 are subject to vesting and forfeiture provisions and are not outstanding for GAAP purposes as of the Closing Date.</w:t>
      </w:r>
    </w:p>
    <w:p>
      <w:pPr>
        <w:spacing w:after="0" w:line="225" w:lineRule="exact"/>
        <w:rPr>
          <w:rFonts w:ascii="Times New Roman" w:cs="Times New Roman" w:eastAsia="Times New Roman" w:hAnsi="Times New Roman"/>
          <w:sz w:val="23"/>
          <w:szCs w:val="23"/>
          <w:color w:val="auto"/>
          <w:vertAlign w:val="superscript"/>
        </w:rPr>
      </w:pPr>
    </w:p>
    <w:p>
      <w:pPr>
        <w:ind w:left="580" w:hanging="5"/>
        <w:spacing w:after="0" w:line="229" w:lineRule="auto"/>
        <w:tabs>
          <w:tab w:leader="none" w:pos="75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Legacy AON Shareholders hold 3,000,245 Class B Prefunded Warrants, which underlying shares of Class B common stock are not outstanding as of the Closing Date.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Accounting Treatment for the Business Combination</w:t>
      </w:r>
    </w:p>
    <w:p>
      <w:pPr>
        <w:spacing w:after="0" w:line="250"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8"/>
          <w:szCs w:val="18"/>
          <w:color w:val="auto"/>
        </w:rPr>
        <w:t xml:space="preserve">As AON LLC does not meet any of the characteristics of a VIE under Accounting Standards Codification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(“ASC 810”) the Business Combination was evaluated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Notwithstanding the legal form of the Business Combination pursuant to the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Combination Agreement, the Business Combination was accounted for as a reverse recapitalization in accordance with GAAP. Under this method of accounting, DTOC was treated as the acquired company and AON LLC was considered the acquirer for financial statement reporting purposes. AON LLC was determined to be the accounting acquirer based on, in summary, an evaluation of the following primary facts and circumstances:</w:t>
      </w:r>
    </w:p>
    <w:p>
      <w:pPr>
        <w:spacing w:after="0" w:line="203"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directors will represent a majority of the board seats for New AON’s board of directors;</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senior management will be the senior management of the combined company;</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operations comprising the ongoing operations of the post-combination company; and</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relative size (i.e., assets, revenues, and earnings) is significantly larger compared to DTOC.</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financial statements of the post-combination entity will represent a continuation of the financial statements of AON LLC with the acquisition being treated as the equivalent of AON LLC issuing stock for the net assets of DTOC, accompanied by a recapitalization. The net assets of DTOC are stated at historical cost, with no goodwill or other intangible assets recorded. Refer to Note 3 for additional information.</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Accounting for the Earnout Shares</w:t>
      </w:r>
    </w:p>
    <w:p>
      <w:pPr>
        <w:spacing w:after="0" w:line="252"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Following the Closing and for five years thereafter, the DTOC Sponsor agreed to subject 35%, or 2,839,375 shares of New AON Class A common stock held by it as of the Closing (the “Sponsor Earnout Shares”) to the following vesting and forfeiture provisions:</w:t>
      </w:r>
    </w:p>
    <w:p>
      <w:pPr>
        <w:spacing w:after="0" w:line="189" w:lineRule="exact"/>
        <w:rPr>
          <w:sz w:val="20"/>
          <w:szCs w:val="20"/>
          <w:color w:val="auto"/>
        </w:rPr>
      </w:pPr>
    </w:p>
    <w:p>
      <w:pPr>
        <w:jc w:val="both"/>
        <w:ind w:left="900" w:right="2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Earnout Shares will vest when the volume-weighted average price of the New AON Class A common stock equals or exceeds $13.50 per share for any 20 trading days within any 30 trading day period beginning after the Closing and ending 60 months following the Closing;</w:t>
      </w:r>
    </w:p>
    <w:p>
      <w:pPr>
        <w:spacing w:after="0" w:line="202"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Earnout Shares will be released immediately upon the consummation of a change of control transaction within the 60-month period following the Closing; and</w:t>
      </w:r>
    </w:p>
    <w:p>
      <w:pPr>
        <w:spacing w:after="0" w:line="188"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Sponsor Earnout Shares are not released pursuant to the foregoing provisions on or before the date that is 60 months after the Closing, then the Sponsor Earnout Shares will be forfeited immediately following such date.</w:t>
      </w: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As the Business Combination was accounted for as a reverse recapitalization, the issuance of the Sponsor Earnout Shares to the Company’s existing shareholders will be accounted for as an equity transaction. The accounting for the Sponsor Earnout Shares was evaluated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ASC Subtopic 815-40,</w:t>
      </w:r>
      <w:r>
        <w:rPr>
          <w:rFonts w:ascii="Times New Roman" w:cs="Times New Roman" w:eastAsia="Times New Roman" w:hAnsi="Times New Roman"/>
          <w:sz w:val="18"/>
          <w:szCs w:val="18"/>
          <w:i w:val="1"/>
          <w:iCs w:val="1"/>
          <w:color w:val="auto"/>
        </w:rPr>
        <w:t xml:space="preserve"> Derivatives and Hedging — Contracts in Entity’s Own Equity</w:t>
      </w:r>
      <w:r>
        <w:rPr>
          <w:rFonts w:ascii="Times New Roman" w:cs="Times New Roman" w:eastAsia="Times New Roman" w:hAnsi="Times New Roman"/>
          <w:sz w:val="18"/>
          <w:szCs w:val="18"/>
          <w:color w:val="auto"/>
        </w:rPr>
        <w:t>, to determine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Earnout Shares should be classified as a liability or within equity. As part of that analysis, it was determined that the Sponsor Earnout Shares are freestanding, do not meet the criteria within ASC 480 to be classified as a liability, and meet the criteria in ASC 815-40 to be considered indexed to the post-combination entity’s common stock and classified within equity.</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As of the Closing Date, New AON assumed the outstanding warrants (Public Warrants and Private Placement Warrants) that were issued by DTOC as part of DTOC’s IPO. Further, New AON issued the Class B Prefunded Warrants to former Class A-1 unit holders, in lieu of New AON Class B Common Stock. The accounting treatment for the Public Warrants, the Private Placement Warrants, and the Class B Prefunded Warrants, collectively referred to as “the Warrants”, is disclosed in Note 2.</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 of the Closing Date, New AON assumed 8,337,500 public warrants (the “Public Warrants”) issued by DTOC in its IPO. Each whole warrant entitles the holder to purchase one share of New AON Class A Common Stock at a price of $11.50 per share, subject to adjustment. The warrants will become exercisable on the later of 12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from the closing of the DTOC Initial Public Offering or 30 days after the completion of its initial business combination and will expire five years after the Closing of the Business Combination, or earlier upon redemption or liquidation.</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of the Closing Date, New AON assumed 6,113,333 Private Placement Warrants held by the DTOC Sponsor (the “Private Placement Warrants” or “Private Warrants”). The Private Placement Warrants will be non-redeemable in certain circumstances so long as they are held by the Sponsor or its permitted transferees. The Private Placement Warrants may also be exercised by the Sponsor and its permitted transferees for cash or on a cashless basis. Otherwise, the Private Placement Warrants have terms and provisions that are identical to those of the Public Warrants, including as to exercise price, exercisability, and exercise period.</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 Prefunded Warrants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of the Closing Date, New AON issued 3,000,245 of Class B Prefunded Warrants to former AON Class A-1 unitholders. Because the Class B Warrants are prefunded, there was not any cash consideration exchanged as part of the Class B Warrant issuance. Each Class B Prefunded Warrant entitles the holder to purchase one share of New AON Class B common stock at a price of $0.01 per share. The exercise term of the Class B Warrant shall continue indefinitely so long as the holder of the Class B Warrant is also the holder of an AON LLC Common Unit, provided that the number of shares of Common Stock that this Warrant is exercisable for shall not exceed the number of AON LLC Common Units held by holder.</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Transaction Expenses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In connection with the Reverse Recapitalization, AON LLC and New AON incurred costs of $0.0 million and $24.6 million during the three months ended September 30, 2024 and 2023, respectively. AON LLC and New AON incurred costs of $1.0 million and $24.6 million during the nine months ended September 30, 2024 and 2023, respectively. These costs were reported as transaction expenses in the condensed consolidated statements of operations and comprehensive income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6300" w:hanging="572"/>
        <w:spacing w:after="0" w:line="464"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jc w:val="both"/>
        <w:ind w:left="5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were prepared in accordance with U.S. generally accepted accounting principles (“GAAP”) for interim financial information and in accordance with the rules and regulations of the U.S. Securities and Exchange Commission (“SEC”) regarding interim financial reporting.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There have been certain reclassifications of prior year amounts made to conform to the current year presentation. Management believes the unaudited condensed consolidated financial statements for the interim periods presented contain all necessary adjustments, of a normal recurring nature, to state fairly, in all material respects, the Company’s financial position, results of operations and cash flows for the interim periods presented. These unaudited condensed consolidated financial statements were prepared on the same basis as and should be read in conjunction with such audited consolidated financial statements and related notes thereto of AON Inc. and its wholly-owned subsidiaries, included in the Annual Report on Form 10-K, dated and filed on March 28, 2024 with the SEC (the “Annual Report 2023"). Operating results for the three and nine months ended September 30, 2024 are not necessarily indicative of the results the Company expects for the entire year.</w:t>
      </w:r>
    </w:p>
    <w:p>
      <w:pPr>
        <w:spacing w:after="0" w:line="216" w:lineRule="exact"/>
        <w:rPr>
          <w:rFonts w:ascii="Times New Roman" w:cs="Times New Roman" w:eastAsia="Times New Roman" w:hAnsi="Times New Roman"/>
          <w:sz w:val="18"/>
          <w:szCs w:val="18"/>
          <w:b w:val="1"/>
          <w:bCs w:val="1"/>
          <w:color w:val="auto"/>
        </w:rPr>
      </w:pPr>
    </w:p>
    <w:p>
      <w:pPr>
        <w:jc w:val="both"/>
        <w:ind w:lef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2024, these unaudited condensed consolidated financial statements reflect the consolidated results of operations, comprehensive (income) loss, cash flows and changes in equity of AON Inc. and its wholly-owned subsidiaries. The condensed consolidated balance sheet at September 30, 2024 presents the financial condition of AON Inc. and its consolidated subsidiaries.</w:t>
      </w:r>
    </w:p>
    <w:p>
      <w:pPr>
        <w:spacing w:after="0" w:line="202"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2023, these unaudited condensed consolidated financial statements present the consolidated results of operations, comprehensive (income) loss, cash flows and changes in equity of AON LLC. The condensed consolidated balance sheet as of December 31, 2023 presents the financial condition of AON Inc. and its consolidated subsidiaries after the Reverse Recapitalization. All intercompany balances and transactions of AON LLC have been eliminated.</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805 the historical equity of AON LLC has been recasted in all periods up to the Closing Date, to reflect the number of shares of New AON’s Class A Common Stock and Class B Common Stock issued to Legacy AON Shareholders in connection with the Reverse Recapitalization. The Company recasted the units outstanding related to the historical AON LLC Class A, Class A-1, and Class B units prior to the Reverse Recapitalization (“Historical AON LLC Equity”) as common equity of New AON, equal to the Per Company Class Unit Exchange Ratio, pursuant to the Business Combination Agreement.</w:t>
      </w:r>
    </w:p>
    <w:p>
      <w:pPr>
        <w:spacing w:after="0" w:line="210"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Company Unit Exchange Ratio at which AON LLC Class A units and Class A-1 units were reclassified is equal to 2,524 AON Common Units. The Per Company Unit Exchange Ratio at which AON LLC Class B units were reclassified varied depending on participation threshold, and is equal to 2,524, 2,453, or 1,976, AON Common Units. The Per Company Unit Exchange Ratio at which Class C units were reclassified is equal to 2,705 AON LLC Series A Preferred Units.</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and related notes thereto give effect to the conversion for all periods presented, without any change to par value or per unit amounts. The condensed consolidated financial statements do not necessarily represent the capital structure of New AON had the Reverse Recapitalization occurred in prior periods. The Company has not made retroactive adjustments related to the historical book values of Historical AON LLC Equity as the adjustments were considered immaterial.</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2024, $1.1 million and $5.3 million, respectively, of the consolidated net loss of AON LLC were attributable to the Class A Common Stockholders, and reflects the Class A Common Stockholders’ absorption of 36.1% and 29.0%, respectively, of the consolidated net loss of AON LLC. For the three and nine months ended September 30, 2024, $0.9 million and $24.5 million, respectively, of the consolidated net losses of AON LLC were attributable to noncontrolling interest, and reflects the Legacy AON Stockholders’ absorption of 63.9% and 71.0% of the consolidated net losses of AON LLC.</w:t>
      </w:r>
    </w:p>
    <w:p>
      <w:pPr>
        <w:spacing w:after="0" w:line="210" w:lineRule="exact"/>
        <w:rPr>
          <w:rFonts w:ascii="Times New Roman" w:cs="Times New Roman" w:eastAsia="Times New Roman" w:hAnsi="Times New Roman"/>
          <w:sz w:val="18"/>
          <w:szCs w:val="18"/>
          <w:b w:val="1"/>
          <w:bCs w:val="1"/>
          <w:color w:val="auto"/>
        </w:rPr>
      </w:pPr>
    </w:p>
    <w:p>
      <w:pPr>
        <w:ind w:left="58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both the three and nine months ended September 30, 2023, $1.7 million of the consolidated net loss of AON LLC were attributable to the Class A Common Stockholders, and reflects the Class A Common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absorption of 19.0% of the consolidated net loss of AON LLC for the period of September 21, 2023 through September 30, 2023. For both the three and nine months ended September 30, 2023, $11.9 million of the consolidated net losses of AON LLC were attributable to the noncontrolling interest, and reflects the Legacy AON Shareholders’ absorption of 81.0% of the consolidated net losses of AON LLC for the period of September 21, 2023 through September 30, 2023. For the three and nine months ended September 30, 2023, $15.5 million and $27.0 million of the consolidated net losses of AON LLC were attributable to the Legacy AON Shareholders, respectively, to reflect their absorption of 100% of the consolidated net losses of AON LLC pertaining to the days prior to the Reverse Recapitalization.</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For the period of January 1, 2024 through September 30, 2024, the condensed consolidated financial statements include the accounts of the Company, American Oncology Network, LLC (“AON LLC”), and its wholly owned subsidiary American Oncology Management Company, LLC (“AOMC”), and its consolidated variable interest entities (“VIEs”) American Oncology Partners, P.A. (“AON Partners”), American Oncology Partners of Maryland, P.A. (“Partners of Maryland”), AON Central Services, LLC (“AON Central Services”), and Meaningful Insights Biotech Analytics, LLC (“MIBA”). All intercompany accounts and transactions between the entities have been eliminated in consolidation.</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accounting treatment of the Business Combination was a Reverse Recapitalization.</w:t>
      </w:r>
    </w:p>
    <w:p>
      <w:pPr>
        <w:spacing w:after="0" w:line="252" w:lineRule="exact"/>
        <w:rPr>
          <w:sz w:val="20"/>
          <w:szCs w:val="20"/>
          <w:color w:val="auto"/>
        </w:rPr>
      </w:pPr>
    </w:p>
    <w:p>
      <w:pPr>
        <w:jc w:val="both"/>
        <w:ind w:left="580"/>
        <w:spacing w:after="0" w:line="312" w:lineRule="auto"/>
        <w:rPr>
          <w:sz w:val="20"/>
          <w:szCs w:val="20"/>
          <w:color w:val="auto"/>
        </w:rPr>
      </w:pPr>
      <w:r>
        <w:rPr>
          <w:rFonts w:ascii="Times New Roman" w:cs="Times New Roman" w:eastAsia="Times New Roman" w:hAnsi="Times New Roman"/>
          <w:sz w:val="17"/>
          <w:szCs w:val="17"/>
          <w:color w:val="auto"/>
        </w:rPr>
        <w:t>For the periods prior to the Reverse Recapitalization, the consolidated financial statements of the Company comprise the accounts of AON LLC and its wholly-owned subsidiaries. All intercompany accounts and transactions among AON LLC and its consolidated subsidiaries were eliminated.</w:t>
      </w:r>
    </w:p>
    <w:p>
      <w:pPr>
        <w:spacing w:after="0" w:line="113"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accounts for American Oncology Network, LLC, AON Partners, Partners of Maryland, AON Central Services, and MIBA in accordance with Financial Accounting Standards Board (“FASB”) ASC 810. The Company determines whether it has a controlling financial interest in an entity by first evaluating whether the entity is a VIE. A VIE is broadly defined as an entity that has any of the following three characteristics: (i) the equity investment at risk is insufficient to finance the entity’s activities without additional subordinated financial support; (ii) substantially all of the entity’s activities either involve or are conducted on behalf of an investor that has disproportionately few voting rights; or</w:t>
      </w:r>
    </w:p>
    <w:p>
      <w:pPr>
        <w:spacing w:after="0" w:line="3" w:lineRule="exact"/>
        <w:rPr>
          <w:sz w:val="20"/>
          <w:szCs w:val="20"/>
          <w:color w:val="auto"/>
        </w:rPr>
      </w:pPr>
    </w:p>
    <w:p>
      <w:pPr>
        <w:jc w:val="both"/>
        <w:ind w:left="580" w:hanging="5"/>
        <w:spacing w:after="0" w:line="252" w:lineRule="auto"/>
        <w:tabs>
          <w:tab w:leader="none" w:pos="9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investors as a group lack any of the following, the power through voting or similar rights to direct the activities of the entity that most significantly impact the entity’s economic performance, the obligation to absorb the expected losses of the entity, or the right to receive the expected residual returns of the entity. The Company consolidates a VIE if it has both the power to direct the activities of the VIE that most significantly impact the VIE’s economic performance and an obligation to absorb losses or the right to receive benefits that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if any.</w:t>
      </w:r>
    </w:p>
    <w:p>
      <w:pPr>
        <w:spacing w:after="0" w:line="217"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AON LLC has contractual relationships with AON Partners, Partners of Maryland and AON Central Services and the physician owners through management service agreements (“MSAs”) and other contractual agreements to provide all practice management services outside of medical services provided by the physicians. In addition, despite not being required by the contractual relationships, AON LLC regularly provides funding to support AON Partners and Partners of Maryland’s operations and acquisitions of physician practices. AON Central Services was formed July 15, 2022 and, effective January 1, 2023, entered into an agreement with AOMC to provide qualified non-clinical and non-medical employees to AOMC to support the operation of the physician practices. MIBA was established during the first quarter of 2023 for the purpose of developing intellectual property to synergize the collection, de-identification, and dissemination of the Company’s patient data for sale to external parties for research, development, and clinical decisions. In May 2023, the Company contributed $0.2 million for a 56% interest in the equity of MIBA. As of September 30, 2024, MIBA had no significant operating activity. The Company concluded that AON LLC had a controlling financial interest in MIBA and has consolidated the entity since inception and recorded the noncontrolling interest in equity.</w:t>
      </w:r>
    </w:p>
    <w:p>
      <w:pPr>
        <w:spacing w:after="0" w:line="1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has concluded that AON Partners, Partners of Maryland, AON Central Services, and MIBA are all VIEs in which AON LLC has the characteristics of a controlling financial interest and is deemed to be the primary beneficiary. The variable interest subjects AON LLC to all potential losses in the entities and, therefore, requires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AON LLC, and in turn AON Inc., to consolidate the results of AON Partners, Partners of Maryland, AON Central Services, and MIBA in its condensed consolidated financial statements.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Refer to Note 4 for further information on the VIEs.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accounting policies included below should be read in conjunction with the annual consolidated financial statements.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Accounting Estimates and Assumptions</w:t>
      </w: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(the “CODM”). The Company’s CODM is its chief executive officer who reviews financial information together with certain operating metrics principally to make decisions about how to allocate resources and to measure the Company’s performance. The Company has one operating segment and one reportable segment that are structured around the organizational management of oncology practice operations. All revenue and assets are in the United States.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7"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 xml:space="preserve">Revenue is recognized under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visits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 and any such revenue recognized during the three and nine month periods ended September 30, 2024 and 2023 was immaterial. Additionally, the Company does not expect to recognize material revenue in the future related to performance obligations that are unsatisfied (or partially satisfied) as of September 30, 2024 and December 31, 2023. Approximately $315.3 million and $242.5 million and $860.9 million and $687.4 million of the Company’s revenues are generated from services performed during patient visits with the remainder primarily generated from shipments of pharmacy prescriptions for the three and nine month periods ended September 30, 2024 and 2023, respectively.</w:t>
      </w:r>
    </w:p>
    <w:p>
      <w:pPr>
        <w:spacing w:after="0" w:line="16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3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three and nine month periods ended September 30, 2024 and 2023, such resulting historic adjustments have been immaterial to the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In assessing who is the principal in providing patient services and pharmacy prescriptions, the Company considered who controls the provision of services and prescriptions. The Company has determined they are acting as a principal in these relationships.</w:t>
      </w:r>
    </w:p>
    <w:p>
      <w:pPr>
        <w:spacing w:after="0" w:line="135"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In April 2022, the Company entered into an arrangement to sponsor and manage a clinical trial. The Company subsequently contracted with a third-party to provide the clinical research services and is the principal in this arrangement. The performance of clinical research services are considered a single performance obligation because the Company provides a highly-integrated service. Revenue is recognized for the single performance obligation over time due to the Company’s right to payment for work performed to date. The contract provides for invoices based on predetermined milestones.</w:t>
      </w:r>
    </w:p>
    <w:p>
      <w:pPr>
        <w:spacing w:after="0" w:line="210"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The Company uses the cost-to-cost measure of progress for the Company’s contract because it best depicts the transfer of control to the customer as the performance obligation is fulfilled. For this method, the Company compares the contract costs incurred to date to the estimated total contract costs through completion. As part of the client proposal and contract negotiation process, the Company develops a detailed project budget for the direct costs and reimbursable costs based on the scope of the work, the complexity of the study, the geographical location involved and the Company’s historical experience. The estimated total contract costs at the project level are reviewed and revised periodically throughout the life of the contract, with adjustments to revenue resulting from such revisions being recorded on a cumulative basis in the period in which the revisions are identified. Contract costs consist primarily of direct labor and other reimbursable project-related costs such as travel, third-party vendor costs and investigator fees. The Company establishes pricing based on the Company’s internal pricing guidelines, discount agreements, if any, and negotiations with the client. The transaction price is the contractually defined amount. Revenue related to the clinical trial, which is included within other revenue, was $0.0 million and $2.2 million and $0.5 million and $3.7 million for the three and nine months ended September 30, 2024 and 2023, respectively. This arrangement concluded during the three months ended September 30, 2024.</w:t>
      </w:r>
    </w:p>
    <w:p>
      <w:pPr>
        <w:spacing w:after="0" w:line="151"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has a system and estimation process for recording Medicare net patient service revenue and estimated recoupments as it relates to value-based care (“VBC”) revenue included in patient service revenue in the condensed consolidated statements of operations and comprehensive (income) loss. The Company’s VBC revenue is primarily generated through its participation in the CMS Oncology Care Model (“OCM”)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Short-term Marketable Securities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marketable securities consist of corporate bonds and U.S. Treasury securities.</w:t>
      </w:r>
    </w:p>
    <w:p>
      <w:pPr>
        <w:spacing w:after="0" w:line="18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and reevaluates such determination at each balance sheet date. Marketable securities are classified as available-for-sale and are carried at fair value in the consolidated balance sheets. The marketable securities are classified as short-term based on management’s intent to convert such securities within one year and the ability to convert them within two to three days.</w:t>
      </w:r>
    </w:p>
    <w:p>
      <w:pPr>
        <w:spacing w:after="0" w:line="13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Certain of our available-for-sale securities are debt securities. For an available-for-sale debt security with an amortized cost that exceeds its fair value, the Company first determines if it intends to sell or will more-likely-than-not be required to sell the security before the expected recovery of its amortized cost. If it intends to sell or will more-likely-than-not be required to sell the security, then the Company recognizes the impairment as a credit loss in the condensed consolidated statements of operations and comprehensive (income) loss by writing down the security’s amortized cost to its fair value. If it does not intend to sell or it is not more-likely-than-not that it will be required to sell the security before the expected recovery of its amortized cost, the Company recognizes the portion of the impairment that is due to a credit loss, if any, in the condensed consolidated statements of operations and comprehensive (income) loss through an allowance. The portion of the impairment that is due to factors other than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 credit loss is recognized in other comprehensive income (loss) in the condensed consolidated statements of operations and comprehensive (income) loss as an unrealized loss.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Equity Investment in Affiliate</w:t>
      </w:r>
    </w:p>
    <w:p>
      <w:pPr>
        <w:spacing w:after="0" w:line="18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In January 2023, the Company contributed noncash consideration, with a fair value of approximately $2.3 million, in return for a 49% equity interest in OCP Management Arizona, LLP. Investments in entities over which the Company has the ability to exercise significant influence but does not control the entity are accounted for using the equity method. Equity method investments are included with other assets in the condensed consolidated balance sheets. The carrying amount of the investment is adjusted to reflect the Company’s proportionate share of the net earnings or losses and reduced by any dividends received. The Company’s share of income or loss related to this investment is reported as an equity in loss of affiliate in the condensed consolidated statements of operations and comprehensive (income) loss. The Company divested its relationship with OCP Management Arizona, LLP during the three months ended September 30, 2024 and recorded a small gain reported as equity in income (loss) of affiliate in the condensed consolidated statements of operations and comprehensive (income) loss.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02"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Company consolidates the results of entities in which it has a controlling financial interest. Refer to Note 15 for additional considerations and presentation for noncontrolling interest.</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5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060606"/>
        </w:rPr>
        <w:t>New AON Series A Preferred Stock is redeemable for cash or the value of the property, rights or securities to be paid or distributed in the event of a Deemed Liquidation Event (which is outside of the Company’s control). As a result, Management has determined that the New AON Series A Preferred Stock should be classified as mezzanine equity</w:t>
      </w:r>
      <w:r>
        <w:rPr>
          <w:rFonts w:ascii="Times New Roman" w:cs="Times New Roman" w:eastAsia="Times New Roman" w:hAnsi="Times New Roman"/>
          <w:sz w:val="18"/>
          <w:szCs w:val="18"/>
          <w:color w:val="000000"/>
        </w:rPr>
        <w:t>. As of September 30, 2024, the Preferred Stock are recorded at their initial carrying value,</w:t>
      </w:r>
      <w:r>
        <w:rPr>
          <w:rFonts w:ascii="Times New Roman" w:cs="Times New Roman" w:eastAsia="Times New Roman" w:hAnsi="Times New Roman"/>
          <w:sz w:val="18"/>
          <w:szCs w:val="18"/>
          <w:color w:val="060606"/>
        </w:rPr>
        <w:t xml:space="preserve"> </w:t>
      </w:r>
      <w:r>
        <w:rPr>
          <w:rFonts w:ascii="Times New Roman" w:cs="Times New Roman" w:eastAsia="Times New Roman" w:hAnsi="Times New Roman"/>
          <w:sz w:val="18"/>
          <w:szCs w:val="18"/>
          <w:color w:val="000000"/>
        </w:rPr>
        <w:t>net of offering costs of $0.8 million. The Series A Preferred Stock are not being accreted to redemption value, as the redemption is not probable. The Series A Preferred Stock are classified outside of members’ equity on the consolidated balance sheets. Refer to Note 14 for mezzanine equity presentation considerations for redeemable noncontrolling interest.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060606"/>
        </w:rPr>
        <w:t>We account for treasury stock purchased under the cost method and include treasury stock as a component of accumulated paid in capital. Treasury stock purchased with intent to retire (whether or not the retirement is actually accomplished) is charged to common stock. The company repurchased 14,729 shares of Class A common stock at the spot rate as of each transaction date for a total cost of less than $0.1 million for the year ended December 31, 2023. For the nine months ended September 30, 2024 the Company repurchased an additional 126,728 shares of Class A common stock at the spot rate as of each transaction date for a total cost of less than $0.4 million. To date, the Company has repurchased a total of 141,457 shares.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060606"/>
        </w:rPr>
        <w:t xml:space="preserve">The Company issues stock-based awards to employees and directors in the form of stock options and restricted stock units. The Company measures and recognizes compensation expense for its stock-based awards granted to its employees and directors based on the estimated grant date fair value in accordance with ASC 718, </w:t>
      </w:r>
      <w:r>
        <w:rPr>
          <w:rFonts w:ascii="Times New Roman" w:cs="Times New Roman" w:eastAsia="Times New Roman" w:hAnsi="Times New Roman"/>
          <w:sz w:val="18"/>
          <w:szCs w:val="18"/>
          <w:i w:val="1"/>
          <w:iCs w:val="1"/>
          <w:color w:val="060606"/>
        </w:rPr>
        <w:t>Compensation-Stock Compensation</w:t>
      </w:r>
      <w:r>
        <w:rPr>
          <w:rFonts w:ascii="Times New Roman" w:cs="Times New Roman" w:eastAsia="Times New Roman" w:hAnsi="Times New Roman"/>
          <w:sz w:val="18"/>
          <w:szCs w:val="18"/>
          <w:color w:val="060606"/>
        </w:rPr>
        <w:t xml:space="preserve">, and determines the fair value of restricted stock units based on the fair value of its common stock. The Company measures all share-based options granted to employees and directors based on the fair value on the date of grant using the Black-Scholes option-pricing model. Compensation expense of those awards is recognized over the requisite service period, which is generally the vesting period of the respective award. The Company records the expense for awards with service-based conditions using the straight-line method over the requisite service period, net of any actual forfeitures. The Company classifies share-based compensation expense in its consolidated statements of operations and comprehensive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060606"/>
        </w:rPr>
        <w:t xml:space="preserve"> in the same manner in which the award recipient’s payroll costs are classified or in which the award recipient’s service payments are classified.</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acquired practices in accordance with </w:t>
      </w:r>
      <w:r>
        <w:rPr>
          <w:rFonts w:ascii="Times New Roman" w:cs="Times New Roman" w:eastAsia="Times New Roman" w:hAnsi="Times New Roman"/>
          <w:sz w:val="18"/>
          <w:szCs w:val="18"/>
          <w:i w:val="1"/>
          <w:iCs w:val="1"/>
          <w:color w:val="auto"/>
        </w:rPr>
        <w:t>ASC 805: Accounting for Business Combinations</w:t>
      </w:r>
      <w:r>
        <w:rPr>
          <w:rFonts w:ascii="Times New Roman" w:cs="Times New Roman" w:eastAsia="Times New Roman" w:hAnsi="Times New Roman"/>
          <w:sz w:val="18"/>
          <w:szCs w:val="18"/>
          <w:color w:val="auto"/>
        </w:rPr>
        <w:t>. ASU 2017-01 specifically clarifies the definition of a business with the objective of adding guidance to assist entities with evaluating whether transactions should be accounted for as acquisitions or disposals of assets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Company defers specific incremental costs directly attributable to proposed offerings of securities. These costs consist of legal, accounting, and other similar expenses incurred through the balance sheet date that are directly related to a potential offering. If the offering is completed, these costs will be charged against the gross proceeds of the offering. These offering costs will be allocated to the separable financial instruments issued in the transaction on a relative fair value basis of the securities issued, compared to total proceeds received. Offering costs associated with any instruments classified as liabilities will be expensed as incurred, presented as non-operating expenses in the condensed consolidated statement of operations and comprehensive (income) loss.</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Goodwill and indefinite-lived identifiable intangible assets</w:t>
      </w:r>
    </w:p>
    <w:p>
      <w:pPr>
        <w:spacing w:after="0" w:line="252"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7"/>
          <w:szCs w:val="17"/>
          <w:color w:val="auto"/>
        </w:rPr>
        <w:t>Goodwill represents the fair value of acquired businesses in excess of the fair value of the individually identified net assets acquired. Goodwill is not amortized but is tested for impairment annually or whenever indications of impairment exist. Impairment exists when the carrying amount, including goodwill, of the reporting unit exceeds its fair value, resulting in an impairment charge for this excess. The Company can elect to qualitatively assess goodwill for impairment if it is more likely than not that the fair value of its reporting unit exceeds its carrying value. When performing a qualitative assessment, the Company considers relevant events or circumstances that affect the fair value or carrying amount of a reporting unit. If goodwill is more likely than not impaired, the Company must then complete a quantitative analysis. When performing a quantitative impairment test, the Company utilizes the market approach in estimating the fair values of its reporting unit. If the carrying value of a reporting unit exceeds its fair value, an impairment charge is recognized equal to the difference between the carrying amount of the reporting unit and its fair value, not to exceed the carrying value of goodwill of the reporting unit. The Company has determined that it has only one reporting unit</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purposes of evaluating goodwill impairment. The Company’s annual impairment testing date is October 1</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consist of a certificate of need acquired in an asset acquisition and is not subject to amortization. The Company has concluded that the certificate of need has an indefinite life because there are no legal, regulatory, contractual, economic or other factors that would limit the useful life, and the Company intends to renew and operate the certificate of need indefinitely. Indefinite-lived intangible assets are reviewed annually for impairment or more frequently if circumstances indicate impairment may have occurred.</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Finite-lived identifiable intangible assets</w:t>
      </w:r>
    </w:p>
    <w:p>
      <w:pPr>
        <w:spacing w:after="0" w:line="252"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Finite-lived intangible assets consist of trade names acquired in business combinations and are recorded at fair value. Finite-lived intangible assets are amortized using the straight-line method over the estimated economic life of the assets, which best reflects the pattern of use. Trade names are amortized over an estimated useful life of ten years. The Company’s finite-lived intangible assets are reviewed for impairment whenever events or changes in circumstances indicate that the carrying amount of those assets or asset groups may not be recoverable. If the expected undiscounted future cash flows are less than the carrying amount of such assets or asset groups, the Company recognizes an impairment loss to the extent the carrying amount exceeds its estimated fair value</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Professional Liability</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policies for exposure to professional malpractice insurance risk. The limits of malpractice insurance provide each physician/advanced practice provider with a dedicated $1.0 million limit per claim and a $3.0 million limit in the aggregate per policy period – on a first dollar basis, as no deductible applies. The policy further then extends coverage to the Company, by providing a $2.0 million limit per claim and a $4.0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million limit in the aggregate per policy period - on a first dollar basis, additionally, as no deductible applies.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All accrued unpaid claims and expenses and the associated insurance recoveries are classified as short-term and long-term liabilities and assets based on when they are expected to be paid or collected.</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the principal or most advantageous market in an orderly transaction between market participants on the measurement date.</w:t>
      </w:r>
    </w:p>
    <w:p>
      <w:pPr>
        <w:spacing w:after="0" w:line="121"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p>
      <w:pPr>
        <w:spacing w:after="0" w:line="203"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to the valuation methodology are quoted prices (unadjusted) for an identical asset or liability in an active market.</w:t>
      </w:r>
    </w:p>
    <w:p>
      <w:pPr>
        <w:spacing w:after="0" w:line="225" w:lineRule="exact"/>
        <w:rPr>
          <w:sz w:val="20"/>
          <w:szCs w:val="20"/>
          <w:color w:val="auto"/>
        </w:rPr>
      </w:pPr>
    </w:p>
    <w:p>
      <w:pPr>
        <w:jc w:val="both"/>
        <w:ind w:left="1360" w:right="700" w:hanging="768"/>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2" w:lineRule="exact"/>
        <w:rPr>
          <w:sz w:val="20"/>
          <w:szCs w:val="20"/>
          <w:color w:val="auto"/>
        </w:rPr>
      </w:pPr>
    </w:p>
    <w:p>
      <w:pPr>
        <w:jc w:val="both"/>
        <w:ind w:left="1360" w:right="700" w:hanging="768"/>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Level 3</w:t>
        <w:tab/>
        <w:t>Inputs to the valuation methodology are unobservable and significant to the fair value measurement of the asset or liability. This includes certain pricing models, discounted cash flow methodologies and similar techniques that use significant unobservable inputs.</w:t>
      </w:r>
    </w:p>
    <w:p>
      <w:pPr>
        <w:spacing w:after="0" w:line="25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placement of assets and liabilities being measured within the fair value hierarchy.</w:t>
      </w:r>
    </w:p>
    <w:p>
      <w:pPr>
        <w:spacing w:after="0" w:line="13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short-term marketable securities, accounts receivable, notes receivable, accounts payable, accrued expenses, long-term debt and contractual agreements that resulted in derivative liabilities. Our nonfinancial assets such as property and equipment are not measured at fair value on a recurring basis; however, they are subject to fair value adjustments in certain circumstances, such as when there is evidence that impairment may exist.</w:t>
      </w:r>
    </w:p>
    <w:p>
      <w:pPr>
        <w:spacing w:after="0" w:line="13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notes receivable, and accrued expenses approximate their fair value because of the short-term maturity and highly liquid nature of these instruments. We determine the fair value of long-term debt and marketable securities based on various factors including maturity schedules and current market rates.</w:t>
      </w:r>
    </w:p>
    <w:p>
      <w:pPr>
        <w:spacing w:after="0" w:line="14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See Note 6 for a discussion of the Company’s Level 1 and Level 2 Marketable Securities as of June 30, 2024. See below for a discussion of the Company’s Level 1 and Level 3 warrant liabilities as of June 30, 2024. As of June 30, 2024 and December 31, 2023, there were no Level 3 financial instruments. There were no transfers between any levels of the hierarchy during any periods presented.</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5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 xml:space="preserve">Upon Closing of the Business Combination, on September 20, 2023, the Company evaluated the Public Warrants and Private Placement Warrants and the Class B Prefunded Warrants, collectively referred to herein as “Warrants”, in accordance with ASC 815-40,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and concluded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a provision in the warrant agreements related to potential net cash settlement of the warrants upon an exchange or tender offer that may not result in a change in control of the entity precludes the warrants from being accounted for as components of equity. As the Warrants meet the definition of a derivative as contemplated in ASC 815, the Warrants are recorded as current liabilities within accrued other on the condensed consolidated balance sheets and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recognized in other income (expense), net on the condensed consolidated statements of operations and comprehensive (income) loss in the period of change.</w:t>
      </w:r>
    </w:p>
    <w:p>
      <w:pPr>
        <w:spacing w:after="0" w:line="21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 of September 30, 2024, the Public Warrants were trading separately from the Class A Common Stock and the quoted market price was used to establish fair value. As such, the Public Warrants fair value was determined using a Level 1 input. The fair value of the Public Warrants as of September 30, 2024 is $1.2 million and recorded in accrued other on the condensed consolidated balance sheets.</w:t>
      </w:r>
    </w:p>
    <w:p>
      <w:pPr>
        <w:spacing w:after="0" w:line="20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Management has utilized the public warrant price to value the private warrants and believes the public and private warrants have materially consistent fair values given the existence of the make-whole redemption feature. As of September 30, 2024, a valuation of the private warrants was performed which confirmed the private warrant value was materially consistent with the public warrants. The details of this valuation are included in the paragraph below.</w:t>
      </w:r>
    </w:p>
    <w:p>
      <w:pPr>
        <w:spacing w:after="0" w:line="207"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8"/>
          <w:szCs w:val="18"/>
          <w:color w:val="auto"/>
        </w:rPr>
        <w:t>The fair value of the Private Placement warrants was determined using Level 3 inputs. As of September 30, 2024, the fair value of the Private Placement Warrants was estimated to be $0.9 million and recorded in accrued other on the condensed consolidated balance sheets. The fair value was estimated at September 30, 2024, using the Black-Scholes Option Pricing model using the following assumptions: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Expected annual dividend yield – 0.0%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Expected volatility – 33.50%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Risk-free rate of return – 3.55%</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Expected Option Term – 5.0 years</w:t>
      </w:r>
    </w:p>
    <w:p>
      <w:pPr>
        <w:spacing w:after="0" w:line="20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AON Class B Prefunded Warrants are exercisable into one share of New AON Class B Common Stock. A share of New AON Class B Common Stock, together with an AON LLC Common Unit, may be exchanged for one share of New AON Class A Common Stock. Considering New AON Class B Common Stock has no economic rights and limited liquidity or value if the holder does not also possess an AON LLC Common Unit, and because the AON Class B Prefunded Warrants are exercisable into New AON Class B Common Stock, the Company has estimated fair value of the Class B Prefunded Warrants to be immaterial.</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recast Historical AON LLC Equity as AON Inc. common equity for all periods prior to the Reverse Recapitalization, refer to Note 2. However, as 100% of the net losses of AON LLC prior to the Reverse Recapitalization were absorbed by the Legacy AON Shareholders, basic and diluted earnings (loss) per share for the three and nine months ended September 30, 2023 represents only the period from September 21, 2023 to September 30, 2023, the period where the Company had earnings (loss) attributable to Class A Common Stockholders. Basic and diluted earnings (loss) per share for the three and nine months ended September 30, 2024 represents the period where the Company had earnings (loss) attributable to Class A Common Stockholders. Class B Common Stock does not have economic rights in AON Inc., including rights to dividends or distributions upon liquidation, and as a result, is not considered a participating security for basic and diluted earnings (loss) per share. As such, basic and diluted earnings (loss) per share of Class B Common Stock has not been presented.</w:t>
      </w:r>
    </w:p>
    <w:p>
      <w:pPr>
        <w:spacing w:after="0" w:line="21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Company has issued and outstanding Sponsor Earnouts, which are subject to forfeiture if the achievement of certain stock price thresholds are not met. In accordance with ASC Topic 260, “Earnings Per Share,” the Sponsor Earnouts are excluded from weighted-average shares outstanding to calculate basic earnings (loss) per share as they are considered contingently issuable shares due to their potential forfeiture. Sponsor Earnouts will be included in weighted-average shares outstanding to calculate basic earnings (loss) per share as of the date of their stock price thresholds are met and they are no longer subject to forfeiture.</w:t>
      </w:r>
    </w:p>
    <w:p>
      <w:pPr>
        <w:spacing w:after="0" w:line="210"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Basic and diluted earnings (loss) per share is computed by use of the two-class method as a result of outstanding Series A Preferred Stock, which accrue dividends at the annual rate of 8% of the original price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participate with common stock on all other dividends, and accordingly have participation rights in undistributed earnings as if all such earnings had been distributed during the period (see Note 12). Under such method income available to common shareholders is computed by deducting both dividends declared or, if not declared, accumulated on Series A Preferred Stock from net income. Loss attributable to common shareholders is computed by increasing net loss by such dividends. Since the participating Series A Preferred Stock has no contractual obligation to share in the losses of the Company, there is no loss allocation between Class A Common Stock and Series A Preferred Stock.</w:t>
      </w:r>
    </w:p>
    <w:p>
      <w:pPr>
        <w:spacing w:after="0" w:line="21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based on the weighted-average number of shares of Class A Common Stock outstanding during the period. Diluted earnings (loss) per share is based on the weighted-average number of shares of Class A Common Stock used for the basic earnings (loss) per share calculation, adjusted for the dilutive effect of the Public and Private Warrants, Restricted Stock Units, and Sponsor Earnout, if any, using the “treasury stock” method and the convertible Series A Preferred Stock and, exchangeable Class B Common Stock and Class B Prefunded Warrants, if any, using the “if-converted” method. Net earnings (loss) for diluted loss per share is adjusted for the Company’s share of AON LLC’s consolidated net earnings (loss), net of AON Inc. taxes, after giving effect to the Class B Common Stock and Class B Prefunded Warrants that are exchanged into potential shares of Class A Common Stock, Public and Private Warrants that are liability classified, and Series A Preferred Stock, to the extent it is dilutive.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0"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ASU 2016-13 is effective for the Company for annual reporting periods beginning after December 15, 2022. ASU 2016-13 was adopted by the Company effective January 1, 2023, with no material impact on the Company’s consolidated financial statements and related disclosures.</w:t>
      </w:r>
    </w:p>
    <w:p>
      <w:pPr>
        <w:spacing w:after="0" w:line="142"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Accounting for Contract Assets and Contract Liabilities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which provides that an acquirer must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 accordance with ASC 606. The guidance is effective for the Company for annual reporting periods beginning after December 15, 2023, with early adoption permitted. The adoption of this standard as of January 1, 2024, did not have an impact on the Company’s consolidated financial statements and related disclosures.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ind w:left="580" w:right="20"/>
        <w:spacing w:after="0" w:line="27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amendments in this update are intended to improve reportable segment disclosure requirements, primarily through enhanced disclosures about significant expenses. The ASU requires disclosures to include significant segment expenses that are regularly provided to the chief operating decision maker, a description of other segment items by reportable segment, and any additional measures of a segment's profit or loss used by the chief operating decision maker when deciding how to allocate resources. The ASU also requires all annual disclosures currently required by Topic 280, “Segment Reporting,” to be included in interim periods. This update is effective for fiscal years beginning after December 15, 2023, and interim periods within fiscal years beginning after December 15, 2024. Early adoption is permitted and retrospective application is required for all periods presented. The Company is evaluating the impact this will have on the Company's consolidated financial statements and related disclosures.</w:t>
      </w:r>
    </w:p>
    <w:p>
      <w:pPr>
        <w:spacing w:after="0" w:line="199" w:lineRule="exact"/>
        <w:rPr>
          <w:sz w:val="20"/>
          <w:szCs w:val="20"/>
          <w:color w:val="auto"/>
        </w:rPr>
      </w:pPr>
    </w:p>
    <w:p>
      <w:pPr>
        <w:ind w:left="580" w:right="1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upgrade enhance the transparency and decision usefulness of income tax disclosures. This ASU requires disclosures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Early adoption is permitted and the amendments should be applied on a prospective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Retrospective application is permitted. The Company is currently evaluating the effect that ASU 2023-09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Recapitalization</w:t>
      </w:r>
    </w:p>
    <w:p>
      <w:pPr>
        <w:spacing w:after="0" w:line="256" w:lineRule="exact"/>
        <w:rPr>
          <w:rFonts w:ascii="Times New Roman" w:cs="Times New Roman" w:eastAsia="Times New Roman" w:hAnsi="Times New Roman"/>
          <w:sz w:val="18"/>
          <w:szCs w:val="18"/>
          <w:b w:val="1"/>
          <w:bCs w:val="1"/>
          <w:color w:val="auto"/>
        </w:rPr>
      </w:pPr>
    </w:p>
    <w:p>
      <w:pPr>
        <w:jc w:val="both"/>
        <w:ind w:left="5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Note 1, AON LLC merged with DTOC, with AON LLC surviving the Merger. AON LLC is governed by a board of managers composed of three (3) persons that were designated by New AON and two (2) persons that were designated by holders of a majority of the AON LLC Common Units, held by members of AON LLC other than New AON. Management determined AON LLC was not a variable interest entity (Refer to Note 2), and as result, identified AON LLC as the accounting acquirer of the Merger in accordance ASC Topic 805. Management concluded that AON LLC was the accounting acquirer due to (i) the Legacy AON Shareholders, defined as the former AON Class A, Class A-1, and Class B unit holders, receiving the largest portion of the voting rights in the combined company, New AON, (ii) significantly all of the Legacy AON Shareholders retained their equity interest as stockholders in New AON, (iii) AON LLC’s operations prior to the Reverse Recapitalization comprising the only ongoing operations of New AON, (iv) the Legacy AON Shareholders have the right to appoint a majority of the directors of New AON, (v) the executive management of AON LLC will become the executive management of New AON and (vi) AON LLC is significantly larger than DTOC in terms of revenue, total assets, and employees. Therefore, the Merger was accounted for as a reverse recapitalization, with no goodwill or other intangible assets recorded, in accordance with ASC 805. DTOC was treated as the “acquired” company for financial reporting purposes, and for accounting purposes, the Reverse Recapitalization was treated as the equivalent of AON LLC issuing stock for the net assets of DTOC, accompanied by a recapitalization. The net assets of DTOC were recorded at historical cost on the condensed consolidated balance sheet as of September 20, 2023, the Closing Date of the Reverse Recapitalization, with no goodwill or other intangible assets recorded. For additional information on the capitalization of New AON and AON LLC immediately following the Closing of the Reverse Recapitalization, see Note 1.</w:t>
      </w:r>
    </w:p>
    <w:p>
      <w:pPr>
        <w:spacing w:after="0" w:line="222"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historical cost of assets and liabilities of DTOC. as of September 20, 2023.</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September 20, 2023</w:t>
            </w:r>
          </w:p>
        </w:tc>
      </w:tr>
      <w:tr>
        <w:trPr>
          <w:trHeight w:val="27"/>
        </w:trPr>
        <w:tc>
          <w:tcPr>
            <w:tcW w:w="6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r>
      <w:tr>
        <w:trPr>
          <w:trHeight w:val="27"/>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r>
      <w:tr>
        <w:trPr>
          <w:trHeight w:val="237"/>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Liabilities</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w:t>
            </w:r>
          </w:p>
        </w:tc>
      </w:tr>
      <w:tr>
        <w:trPr>
          <w:trHeight w:val="27"/>
        </w:trPr>
        <w:tc>
          <w:tcPr>
            <w:tcW w:w="6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Company recorded a Day 1 expense as of the Closing of the Business Combination equal to $18.2 million. Of that total amount, $13.0 million was recorded in transaction expenses on the condensed consolidated statement of operations and comprehensive (income) loss. The remaining $5.2 million was recorded in other income (expense) net on the condensed consolidated statement of operations and comprehensive (income) loss. This amount represented the loss on the issuance of Public and Private Warrants, as of the Closing, net of cash received. The Company also recorded a $4.3 million gain in other income (expense), net related to the change in the fair value of the Public and Private Warrants during the period of September 21, 2023 through September 30,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2" w:lineRule="exact"/>
        <w:rPr>
          <w:rFonts w:ascii="Times New Roman" w:cs="Times New Roman" w:eastAsia="Times New Roman" w:hAnsi="Times New Roman"/>
          <w:sz w:val="18"/>
          <w:szCs w:val="18"/>
          <w:b w:val="1"/>
          <w:bCs w:val="1"/>
          <w:color w:val="auto"/>
        </w:rPr>
      </w:pPr>
    </w:p>
    <w:p>
      <w:pPr>
        <w:jc w:val="both"/>
        <w:ind w:left="5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AOMC is a wholly owned subsidiary of AON LLC and neither AOMC nor AON LLC has ownership interest in AON Partners and Partners of Maryland. Both AON Partners and Partners of Maryland are fully owned by physicians. AON LLC operates its physician practices through the MSAs and other contractual agreements between AOMC, AON Partners, and Partners of Maryland.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AON LLC is paid a management fee to compensate AOMC for the services provided. AON Central Services is 80% physician owned and 20% owned by AON LLC. AOMC entered into an agreement with AON Central Services, effective January 1, 2023, to provide qualified non-clinical and non-medical employees to AOMC to support the operation of the physician practices. AOMC pays a monthly management fee to AON Central Services equal to the aggregate cost of compensation, benefits and all other costs related to these employees. AON LLC invested $0.2 million in MIBA, a newly formed LLC, during the second quarter of 2023 in exchange for 56% equity ownership. The Company evaluated AON LLC’s relationship with MIBA under the VIE model and determined it was a VIE and the Company is the primary beneficiary based on its financial controlling interest.</w:t>
      </w:r>
    </w:p>
    <w:p>
      <w:pPr>
        <w:spacing w:after="0" w:line="214" w:lineRule="exact"/>
        <w:rPr>
          <w:rFonts w:ascii="Times New Roman" w:cs="Times New Roman" w:eastAsia="Times New Roman" w:hAnsi="Times New Roman"/>
          <w:sz w:val="18"/>
          <w:szCs w:val="18"/>
          <w:b w:val="1"/>
          <w:bCs w:val="1"/>
          <w:color w:val="auto"/>
        </w:rPr>
      </w:pPr>
    </w:p>
    <w:p>
      <w:pPr>
        <w:jc w:val="both"/>
        <w:ind w:left="5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various quantitative and qualitative factors, including assessment of certain services performed and relationships held above, management has determined that AON Partners, Partners of Maryland, AON Central Services, and MIBA are all variable interest entities and AOMC is the primary beneficiary who holds the decision-making rights over the activities that most significantly impact the economic performance of AON Partners, Partners of Maryland, AON Central Services, and MIBA through the MSAs and other contractual agreements. Accordingly, the results of AON Partners, Partners of Maryland, AON Central Services, and MIBA have been consolidated with the Company for the three and nine month periods ended September 30, 2024 and September 30, 2023.</w:t>
      </w:r>
    </w:p>
    <w:p>
      <w:pPr>
        <w:spacing w:after="0" w:line="146"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assets of AON Partners, Partners of Maryland, AON Central Services, and MIBA as of September 30,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295,676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The liabilities of AON Partners, Partners of Maryland, AON Central Services, and MIBA as of September 30, 2024 and December 31, 2023, are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AON LLC and subsidiaries, net</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117,194</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277,894</w:t>
            </w:r>
          </w:p>
        </w:tc>
      </w:tr>
      <w:tr>
        <w:trPr>
          <w:trHeight w:val="20"/>
        </w:trPr>
        <w:tc>
          <w:tcPr>
            <w:tcW w:w="5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intercompany transactions and balances with the VIEs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8880" w:hanging="572"/>
        <w:spacing w:after="0" w:line="532" w:lineRule="auto"/>
        <w:tabs>
          <w:tab w:leader="none" w:pos="5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u w:val="single" w:color="auto"/>
          <w:color w:val="auto"/>
        </w:rPr>
        <w:t>2024 Acquisitions</w:t>
      </w:r>
    </w:p>
    <w:p>
      <w:pPr>
        <w:spacing w:after="0" w:line="1" w:lineRule="exact"/>
        <w:rPr>
          <w:rFonts w:ascii="Times New Roman" w:cs="Times New Roman" w:eastAsia="Times New Roman" w:hAnsi="Times New Roman"/>
          <w:sz w:val="17"/>
          <w:szCs w:val="17"/>
          <w:b w:val="1"/>
          <w:bCs w:val="1"/>
          <w:color w:val="auto"/>
        </w:rPr>
      </w:pPr>
    </w:p>
    <w:p>
      <w:pPr>
        <w:ind w:left="58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nine months ended September 30, 2024, the Company closed on two business combinations (the “Transactions”), allowing the Company to expand its domestic reach related to its comprehensive oncology and practice management services.</w:t>
      </w:r>
    </w:p>
    <w:p>
      <w:pPr>
        <w:spacing w:after="0" w:line="188" w:lineRule="exact"/>
        <w:rPr>
          <w:rFonts w:ascii="Times New Roman" w:cs="Times New Roman" w:eastAsia="Times New Roman" w:hAnsi="Times New Roman"/>
          <w:sz w:val="17"/>
          <w:szCs w:val="17"/>
          <w:b w:val="1"/>
          <w:bCs w:val="1"/>
          <w:color w:val="auto"/>
        </w:rPr>
      </w:pPr>
    </w:p>
    <w:p>
      <w:pPr>
        <w:jc w:val="both"/>
        <w:ind w:left="5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acquisition of the clinical practices, the Company applied the acquisition method of accounting, where the total purchase price was allocated, or preliminarily allocated, to the tangible and intangible assets acquired and liabilities assumed, based on their fair values as of the acquisition dates.</w:t>
      </w:r>
    </w:p>
    <w:p>
      <w:pPr>
        <w:spacing w:after="0" w:line="198"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Central Georgia Practice Acquisition</w:t>
      </w:r>
    </w:p>
    <w:p>
      <w:pPr>
        <w:spacing w:after="0" w:line="256" w:lineRule="exact"/>
        <w:rPr>
          <w:rFonts w:ascii="Times New Roman" w:cs="Times New Roman" w:eastAsia="Times New Roman" w:hAnsi="Times New Roman"/>
          <w:sz w:val="17"/>
          <w:szCs w:val="17"/>
          <w:b w:val="1"/>
          <w:bCs w:val="1"/>
          <w:color w:val="auto"/>
        </w:rPr>
      </w:pPr>
    </w:p>
    <w:p>
      <w:pPr>
        <w:jc w:val="both"/>
        <w:ind w:left="5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 2024 ("Central Georgia Acquisition Date"), AOMC acquired certain non-clinical assets of Central Georgia Cancer Care, P.C., (the “Central Georgia Practice” or “CGCC”) from the CGCC Shareholders. In addition, AOP acquired certain clinical assets of the Central Georgia Practice from the CGCC Shareholders. In conjunction with the acquisition, AOP entered into Physician Employment Agreements with the selling CGCC Shareholders covering an initial period of five years. Intangible assets were recognized pursuant to the acquisition in the form of trade names of $1,300 with an amortization period of 10 years. The Company transferred total consideration of $13,462.</w:t>
      </w:r>
    </w:p>
    <w:p>
      <w:pPr>
        <w:spacing w:after="0" w:line="210"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Central Georgia Practice Acquisition was determined to constitute a business combination in accordance with ASC 805.</w:t>
      </w:r>
    </w:p>
    <w:p>
      <w:pPr>
        <w:spacing w:after="0" w:line="248"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Hawaii Practice Acquisition</w:t>
      </w:r>
    </w:p>
    <w:p>
      <w:pPr>
        <w:spacing w:after="0" w:line="256" w:lineRule="exact"/>
        <w:rPr>
          <w:rFonts w:ascii="Times New Roman" w:cs="Times New Roman" w:eastAsia="Times New Roman" w:hAnsi="Times New Roman"/>
          <w:sz w:val="17"/>
          <w:szCs w:val="17"/>
          <w:b w:val="1"/>
          <w:bCs w:val="1"/>
          <w:color w:val="auto"/>
        </w:rPr>
      </w:pPr>
    </w:p>
    <w:p>
      <w:pPr>
        <w:jc w:val="both"/>
        <w:ind w:left="5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 2024 ("Hawaii Acquisition Date"), AOMC acquired certain non-clinical assets of Hawaii Cancer Care, Inc. (the “Hawaii Practice” or “HCC”) from the HCC Shareholders. In addition, American Oncology Partners of Hawaii, LLC (“AOPH”), a wholly owned subsidiary of AOP, acquired certain clinical assets of the Hawaii Practice from the HCC Shareholders. In conjunction with the acquisition, AOP entered into Physician Employment Agreements with the HCC Shareholders. Intangible assets were recognized pursuant to the acquisition in the form of trade names of $520 with an amortization period of 10 years. The Company transferred total consideration of $(4,530).</w:t>
      </w:r>
    </w:p>
    <w:p>
      <w:pPr>
        <w:spacing w:after="0" w:line="210"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Hawaii Practice Acquisition was determined to constitute a business combination in accordance with ASC 805.</w:t>
      </w:r>
    </w:p>
    <w:p>
      <w:pPr>
        <w:spacing w:after="0" w:line="252" w:lineRule="exact"/>
        <w:rPr>
          <w:rFonts w:ascii="Times New Roman" w:cs="Times New Roman" w:eastAsia="Times New Roman" w:hAnsi="Times New Roman"/>
          <w:sz w:val="17"/>
          <w:szCs w:val="17"/>
          <w:b w:val="1"/>
          <w:bCs w:val="1"/>
          <w:color w:val="auto"/>
        </w:rPr>
      </w:pPr>
    </w:p>
    <w:p>
      <w:pPr>
        <w:jc w:val="both"/>
        <w:ind w:left="5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each of the Transactions, the Company acquired 100% of both the clinical and nonclinical assets of the respective seller. The clinical assets, acquired by AON Partners, primarily consist of medical supplies and drugs. Nonclinical assets, acquired by AOMC, primarily consist of tangible fixed assets and equipment. The following table summarizes the preliminary amounts of the assets acquired and consideration transferred recognized on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84"/>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Central Georgia</w:t>
            </w:r>
          </w:p>
        </w:tc>
        <w:tc>
          <w:tcPr>
            <w:tcW w:w="7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Hawaii</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80" w:type="dxa"/>
            <w:vAlign w:val="bottom"/>
          </w:tcPr>
          <w:p>
            <w:pPr>
              <w:spacing w:after="0"/>
              <w:rPr>
                <w:sz w:val="20"/>
                <w:szCs w:val="20"/>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Seller note</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assumed</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4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34"/>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221"/>
        </w:trPr>
        <w:tc>
          <w:tcPr>
            <w:tcW w:w="58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values of identifiable assets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5"/>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and liabilities assumed:</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 trade names</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 Payable</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long-term</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37"/>
        </w:trPr>
        <w:tc>
          <w:tcPr>
            <w:tcW w:w="58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acquired</w:t>
            </w: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(liabilities) acquired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34"/>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Bargain purchase gain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58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At the time of each acquisition, the Company developed an estimate of fair values of assets for the purpose of allocating the estimated purchase price. In developing these estimates, Management utilized a specialist and determined the applicable fair values for any acquired intangible assets utilizing the relief-from-royalty method, a commonly accepted valuation technique which is an application of the income approach. This method employs various assumptions such as discount rates, forecasted revenues and growth rates. These fair value measurements were based on significant inputs not observable in the market and thus represent Level 3 fair value measurements.</w:t>
      </w:r>
    </w:p>
    <w:p>
      <w:pPr>
        <w:spacing w:after="0" w:line="21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purchase price allocations are subject to further change when additional information is obtained. The Company intends to finalize the purchase price allocations as soon as practicable within the measurement period, but in no event later than one year following the respective closing date of the acquisitions referenced above. The final purchase price allocation may result in additional adjustments to the net assets acquired, including the residual amount allocated to goodwill during the measurement period. Transaction expenses related to the above acquisitions were not material.</w:t>
      </w:r>
    </w:p>
    <w:p>
      <w:pPr>
        <w:spacing w:after="0" w:line="207"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Goodwill reflects the expected synergies and other benefits that the Company believes will result from the combination of the Central Georgia Practice and expanded market opportunities along with the value of the assembled workforce. The goodwill is expected to be tax deductible. A bargain purchase gain of $1,040 for the Hawaii Practice Acquisition was recorded within Other (expense) income, net in the condensed consolidated statement of operations and comprehensive income (loss). The bargain purchase gain was driven by the asset purchase agreement containing certain provisions requiring repayment of the assumed debt, cash paid, and seller note by the HCC Shareholders and the in-substance service period.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the business combinations occurred on April 1, 2024, the following table presents revenue for the nine months ended September 30, 2024 and the three and nine months ended September 30, 2023, as if the 2024 acquisitions had occurred as of January 1, 2023. Prior to the acquisition date, revenue and expenses were recognized on the cash basis of accounting. CGCC’s and HCC’s historical books and records did not contain the information required to prepare financial statements on a basis that would be comparable to us. Thus, the required pro-forma financial disclosures related to net income are not presented herein.</w:t>
      </w: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36830</wp:posOffset>
            </wp:positionV>
            <wp:extent cx="4234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5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250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Pr>
          <w:p>
            <w:pPr>
              <w:spacing w:after="0"/>
              <w:rPr>
                <w:sz w:val="20"/>
                <w:szCs w:val="20"/>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42"/>
        </w:trPr>
        <w:tc>
          <w:tcPr>
            <w:tcW w:w="1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250"/>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1,297,191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1,040,777</w:t>
            </w:r>
          </w:p>
        </w:tc>
      </w:tr>
      <w:tr>
        <w:trPr>
          <w:trHeight w:val="20"/>
        </w:trPr>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From the dates of acquisition through September 30, 2024, revenue attributable to the 2024 acquired businesses was $64.9 million. Net income (loss) has not been included as the Company recognizes expenses on the cash basis of accounting at the practice level.</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2023 Acquisitions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have any ASC 805 acquisitions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02"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Company’s marketable securities financial assets that are measured at fair value on a recurring basis and cash equivalents: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(1)</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Overnight repurchase agreements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 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(1)</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Overnight repurchase agreements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 total</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r>
      <w:tr>
        <w:trPr>
          <w:trHeight w:val="237"/>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2 total</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64,705</w:t>
            </w: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ind w:left="820" w:hanging="245"/>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condensed consolidated balance sheets at September 30, 2024 and December 31, 2023.</w:t>
      </w:r>
    </w:p>
    <w:p>
      <w:pPr>
        <w:spacing w:after="0" w:line="27" w:lineRule="exact"/>
        <w:rPr>
          <w:rFonts w:ascii="Times New Roman" w:cs="Times New Roman" w:eastAsia="Times New Roman" w:hAnsi="Times New Roman"/>
          <w:sz w:val="14"/>
          <w:szCs w:val="14"/>
          <w:color w:val="auto"/>
        </w:rPr>
      </w:pPr>
    </w:p>
    <w:p>
      <w:pPr>
        <w:ind w:left="820" w:hanging="245"/>
        <w:spacing w:after="0" w:line="283" w:lineRule="auto"/>
        <w:tabs>
          <w:tab w:leader="none" w:pos="8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as of September 30, 2024 included overnight repurchase agreements in which cash from the Company's main operating checking account is invested overnight in highly liquid, short-term investments sponsored by a large financial institution.</w:t>
      </w:r>
    </w:p>
    <w:p>
      <w:pPr>
        <w:spacing w:after="0" w:line="13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its Level 1 investments. The fair value of the Company’s Level 2 investments were determined using pricing based on quoted market prices or alternative market observable inputs. As of September 30, 2024 the Company has sold all Level 2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6280" w:hanging="572"/>
        <w:spacing w:after="0" w:line="464" w:lineRule="auto"/>
        <w:tabs>
          <w:tab w:leader="none" w:pos="19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Condensed Balance Sheet Information Other receivables</w:t>
      </w: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receivables consisted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receivable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33,708</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receivables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34,274</w:t>
            </w: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consisted of the following purchased finished goods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5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Intravenous drugs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pharmaceuticals</w:t>
            </w: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r>
      <w:tr>
        <w:trPr>
          <w:trHeight w:val="27"/>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September 30, 2024 and December 31, 2023:</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32,490</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Signs</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Right of Use Assets</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43"/>
        </w:trPr>
        <w:tc>
          <w:tcPr>
            <w:tcW w:w="5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w:t>
            </w:r>
          </w:p>
        </w:tc>
      </w:tr>
      <w:tr>
        <w:trPr>
          <w:trHeight w:val="270"/>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37"/>
        </w:trPr>
        <w:tc>
          <w:tcPr>
            <w:tcW w:w="5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40,439</w:t>
            </w:r>
          </w:p>
        </w:tc>
      </w:tr>
      <w:tr>
        <w:trPr>
          <w:trHeight w:val="27"/>
        </w:trPr>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assets consisted of the following at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62"/>
        </w:trPr>
        <w:tc>
          <w:tcPr>
            <w:tcW w:w="6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24"/>
                <w:szCs w:val="24"/>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 w:type="dxa"/>
            <w:vAlign w:val="bottom"/>
          </w:tcPr>
          <w:p>
            <w:pPr>
              <w:spacing w:after="0"/>
              <w:rPr>
                <w:sz w:val="2"/>
                <w:szCs w:val="2"/>
                <w:color w:val="auto"/>
              </w:rPr>
            </w:pPr>
          </w:p>
        </w:tc>
        <w:tc>
          <w:tcPr>
            <w:tcW w:w="57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Physician deferred 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 w:type="dxa"/>
            <w:vAlign w:val="bottom"/>
          </w:tcPr>
          <w:p>
            <w:pPr>
              <w:spacing w:after="0"/>
              <w:rPr>
                <w:sz w:val="21"/>
                <w:szCs w:val="21"/>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7"/>
        </w:trPr>
        <w:tc>
          <w:tcPr>
            <w:tcW w:w="660" w:type="dxa"/>
            <w:vAlign w:val="bottom"/>
          </w:tcPr>
          <w:p>
            <w:pPr>
              <w:spacing w:after="0"/>
              <w:rPr>
                <w:sz w:val="2"/>
                <w:szCs w:val="2"/>
                <w:color w:val="auto"/>
              </w:rPr>
            </w:pPr>
          </w:p>
        </w:tc>
        <w:tc>
          <w:tcPr>
            <w:tcW w:w="5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in OCP Management Arizona, LLC</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43"/>
        </w:trPr>
        <w:tc>
          <w:tcPr>
            <w:tcW w:w="660" w:type="dxa"/>
            <w:vAlign w:val="bottom"/>
          </w:tcPr>
          <w:p>
            <w:pPr>
              <w:spacing w:after="0"/>
              <w:rPr>
                <w:sz w:val="21"/>
                <w:szCs w:val="21"/>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7"/>
        </w:trPr>
        <w:tc>
          <w:tcPr>
            <w:tcW w:w="660" w:type="dxa"/>
            <w:vAlign w:val="bottom"/>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Accrued Other</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other consisted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37"/>
        </w:trPr>
        <w:tc>
          <w:tcPr>
            <w:tcW w:w="5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accrued other</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7"/>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 at September 30, 2024 and December 31, 2023:</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3"/>
        </w:trPr>
        <w:tc>
          <w:tcPr>
            <w:tcW w:w="5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58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PNC Facility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43"/>
        </w:trPr>
        <w:tc>
          <w:tcPr>
            <w:tcW w:w="5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7"/>
        </w:trPr>
        <w:tc>
          <w:tcPr>
            <w:tcW w:w="5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7"/>
        </w:trPr>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0" w:type="dxa"/>
            <w:vAlign w:val="bottom"/>
          </w:tcPr>
          <w:p>
            <w:pPr>
              <w:spacing w:after="0"/>
              <w:rPr>
                <w:sz w:val="20"/>
                <w:szCs w:val="20"/>
                <w:color w:val="auto"/>
              </w:rPr>
            </w:pPr>
          </w:p>
        </w:tc>
        <w:tc>
          <w:tcPr>
            <w:tcW w:w="5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87,633</w:t>
            </w:r>
          </w:p>
        </w:tc>
        <w:tc>
          <w:tcPr>
            <w:tcW w:w="10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80,641</w:t>
            </w:r>
          </w:p>
        </w:tc>
      </w:tr>
      <w:tr>
        <w:trPr>
          <w:trHeight w:val="27"/>
        </w:trPr>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April 30, 2021, the Company entered into a Loan Facility with PNC (“PNC Loan Facility”) collateralized by the Company’s assets and outstanding patient accounts receivable. The PNC Loan Facility is guaranteed on a limited basis by the Company and shareholder of AON Partners and Partners of Maryland. $34.6 million of proceeds from the PNC Loan Facility was used to pay off the Company’s previous term loans and revolver with Truist Bank. The remaining funds were made available for working capital and acquisition of additional physician practices.</w:t>
      </w:r>
    </w:p>
    <w:p>
      <w:pPr>
        <w:spacing w:after="0" w:line="153"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PNC Loan Facility is interest-only with total principal due at an initial maturity on April 30, 2024. Interest originally accrued at one-month LIBOR or an alternate base rate plus 1.45%. The maximum balance of the PNC Loan Facility (“Borrowing Base”) is limited to the lesser of the Facility Limit ($65.0 million) or the fair value of the Company’s patient accounts receivable. The Company must maintain a balance of the lesser of the Borrowing Base or 65% of the Facility Limit in the first year and 75% of the Facility Limit in subsequent years (“minimum funding threshold”). The Company can repay the PNC Loan Facility up to the minimum funding threshold at any time without penalty. In accordance with the PNC Loan Facility, the Company pledged $10.0 million of collateral as restricted cash to be released quarterly in increments of $2.5 million. The restricted cash was fully released as of September 30, 2024 and December 31, 2023.</w:t>
      </w:r>
    </w:p>
    <w:p>
      <w:pPr>
        <w:spacing w:after="0" w:line="148"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On April 30, 2021, the Company entered into a $5.0 million revolving line of credit agreement (“PNC Line of Credit”). The PNC Line of Credit has an expiration date of April 30, 2025 and originally bore interest at a rate per annum equal to the sum of the daily LIBOR rate plus 1.65% or an alternate base rate plus 0.65% and is due on the first day of each month beginning June 1, 2021. Any outstanding principal and accrued interest will be due on the expiration date. Beginning July 1, 2021, quarterly bank fees equal to 1.65% per day per annum are due in arrears and will continue on the first day of each quarter thereafter. All debt related to the PNC Line of Credit is collateralized by the Company’s assets. As of September 30, 2024 and December 31 2023, no draws had been made on the PNC Line of Credit. The Company is also subject to a 0.20% unused line fee calculated per annum on the unused balance of the PNC Line of Credit.</w:t>
      </w:r>
    </w:p>
    <w:p>
      <w:pPr>
        <w:spacing w:after="0" w:line="148"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On July 29, 2021, the Company amended the PNC Loan Facility increasing the Facility Limit to $75.0 million. On February 14, 2022, the Company further amended the PNC Loan Facility and Line of Credit agreements. The primary changes included an increase of the Facility limit from $75.0 million to $125.0 million, an increase of the PNC Line of Credit availability from $5.0 million to $10.0 million, interest charges to be calculated based on the Bloomberg Short-Term Bank Yield Index plus 1.65% and certain financial covenants. As part of the amendment, the Company drew an additional $16.3 million in proceeds under the Loan Facility. On August 15, 2022, the PNC Loan Facility and Line of Credit agreements were amended again to reduce the availability under the PNC Line of Credit from $10.0 million to $1.0 million.</w:t>
      </w:r>
    </w:p>
    <w:p>
      <w:pPr>
        <w:spacing w:after="0" w:line="16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Effective November 23, 2022, the Company entered into Waiver and Amendment No. 6 (“Waiver and Amendment”) under its PNC Loan Facility as the Company was not in compliance with the Delinquency Ratio financial covenant for the period ending October 31, 2022 and the requirement to provide certain annual financial statements. The Waiver and Amendment waives each event of default and also revised future delinquency percentages and financial statement requirements.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June 30, 2023, the Company entered into Amendment No. 7 (“Amendment 7”) to its PNC Loan Facility which extended the maturity date from April 30, 2024 to June 30, 2026. In connection with Amendment 7, the Company paid additional debt issuance costs of $0.4 million which will be amortized over the revised remaining life of the Loan Facility. In addition, Amendment 7 revised the definition of the minimum funding threshold to limit the threshold multiplier to 65% of the Facility Limit.</w:t>
      </w:r>
    </w:p>
    <w:p>
      <w:pPr>
        <w:spacing w:after="0" w:line="20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On January 1, 2024, the Company entered into Amendment No. 8 (“Amendment 8”) to its PNC Loan Facility to modify certain definitions such as “change in control”. In addition, the Amendment 8 also amended the delinquency ratio threshold used to calculate certain debt covenants. The effective date of Amendment 8 was January 16, 2024.</w:t>
      </w:r>
    </w:p>
    <w:p>
      <w:pPr>
        <w:spacing w:after="0" w:line="203" w:lineRule="exact"/>
        <w:rPr>
          <w:sz w:val="20"/>
          <w:szCs w:val="20"/>
          <w:color w:val="auto"/>
        </w:rPr>
      </w:pPr>
    </w:p>
    <w:p>
      <w:pPr>
        <w:ind w:left="580" w:right="60"/>
        <w:spacing w:after="0" w:line="266" w:lineRule="auto"/>
        <w:rPr>
          <w:sz w:val="20"/>
          <w:szCs w:val="20"/>
          <w:color w:val="auto"/>
        </w:rPr>
      </w:pPr>
      <w:r>
        <w:rPr>
          <w:rFonts w:ascii="Times New Roman" w:cs="Times New Roman" w:eastAsia="Times New Roman" w:hAnsi="Times New Roman"/>
          <w:sz w:val="18"/>
          <w:szCs w:val="18"/>
          <w:color w:val="auto"/>
        </w:rPr>
        <w:t>On January 16, 2024, the Company also entered into Amendment No. 3 (“Amendment 3”) to its PNC Line of Credit to modify certain definitions such as “change in control”. In addition, the Amendment 3 also amended certain debt covenants, such as EBITDA thresholds. The effective date of Amendment 3 was December 31, 2023.</w:t>
      </w:r>
    </w:p>
    <w:p>
      <w:pPr>
        <w:spacing w:after="0" w:line="203" w:lineRule="exact"/>
        <w:rPr>
          <w:sz w:val="20"/>
          <w:szCs w:val="20"/>
          <w:color w:val="auto"/>
        </w:rPr>
      </w:pPr>
    </w:p>
    <w:p>
      <w:pPr>
        <w:ind w:left="580" w:right="40"/>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also entered into Amendment No. 9 (“Amendment 9”) to its PNC Loan Facility to modify certain definitions and expand upon “Unlisted Accounts” which allowed collections received into unlisted accounts to be eligible receivables of pool balance at the end of every month up to a certain threshold. The effective date of Amendment 9 was September 11, 2024.</w:t>
      </w:r>
    </w:p>
    <w:p>
      <w:pPr>
        <w:spacing w:after="0" w:line="203" w:lineRule="exact"/>
        <w:rPr>
          <w:sz w:val="20"/>
          <w:szCs w:val="20"/>
          <w:color w:val="auto"/>
        </w:rPr>
      </w:pPr>
    </w:p>
    <w:p>
      <w:pPr>
        <w:ind w:left="580" w:right="40"/>
        <w:spacing w:after="0" w:line="261" w:lineRule="auto"/>
        <w:rPr>
          <w:sz w:val="20"/>
          <w:szCs w:val="20"/>
          <w:color w:val="auto"/>
        </w:rPr>
      </w:pPr>
      <w:r>
        <w:rPr>
          <w:rFonts w:ascii="Times New Roman" w:cs="Times New Roman" w:eastAsia="Times New Roman" w:hAnsi="Times New Roman"/>
          <w:sz w:val="18"/>
          <w:szCs w:val="18"/>
          <w:color w:val="auto"/>
        </w:rPr>
        <w:t>The PNC Loan Facility and PNC Line of Credit nonfinancial covenants include restrictions related to unpermitted property liens and the requirement of audited financial statements. Both agreements also contain several financial covenants, including the following ratios: accounts receivable default, delinquency, dilution, days sales outstanding, leverage, and fixed charge coverage. As of September 30, 2024, the Company was in compliance with all financial and nonfinancial debt covenants as required by both loan agreements.</w:t>
      </w: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acquisition of HCC, the Company assumed a note payable with a face value of $4.7 million and fair value of $4.5 million. 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payment of $1.0 million was made upon closing of the acquisition on April 1, 2024 with the remaining payments being due in 18 monthly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installments of $0.2 million representing principal and interest at the Company’s variable cost of borrowing. As of September 30, 2024,</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$2.5 million of the note is included within current portion of long-term debt on the condensed consolidated balance sheet and $0.1 million is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included within long-term debt, net.</w:t>
      </w:r>
    </w:p>
    <w:p>
      <w:pPr>
        <w:spacing w:after="0" w:line="23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 note to the CGCC Shareholders with a face value of $6.4 million and fair value of $6.5 million. The note is payable in 60 installments of $0.1 million and bears interest at the Company’s variable cost of borrowing. As of September 30, 2024, $1.3 million of the note is included within current portion of long-term debt on the condensed consolidated balance sheets and $4.8 million is included within long-term debt,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or loss of its members, including the Company.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taxes, in addition to state and local income taxes with respect to the allocable share of any taxable income of American Oncology Network, LLC. Additionally, other corporate entities within the Company's structure are subject to income taxes. These corporate entities continue to generate losses and continue to maintain a valuation allowance against their net deferred tax assets.</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0.0% and (1.1)% for the three months ended September 30, 2024 and 2023, respectively. The provision for income taxes was $0 and $315 for the three months ended September 30, 2024 and 2023, respectively.</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(9.6)% and (0.8)% for the nine months ended September 30, 2024 and 2023, respectively. The provision for income taxes was $2,570 and $315 for the nine months ended September 30, 2024 and 2023, respectively.</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change to the income tax provision for the nine months ended September 30, 2024 compared to the income tax provision for the nine months ended September 30, 2023 was primarily a result of the full valuation allowance recorded against the Company’s net deferred tax assets as of September 30, 2024. As of December 31, 2023, the Company recognized a deferred tax asset related to its investment in the American Oncology Network, LLC partnership. As of September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full valuation allowance against its investment in partnership deferred tax asset during the nine months ending September 30, 2024.</w:t>
      </w:r>
    </w:p>
    <w:p>
      <w:pPr>
        <w:spacing w:after="0" w:line="21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2024 and 2023 differed from the federal statutory rate primarily due to certain legal entities in the Company's structure being treated as partnerships for income tax purposes and, therefore, a significant portion of its income not being subject to income tax. Additionally, as of September 30, 2024, all corporate entities within the Company's structure maintain a full valuation allowance against their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currently leases office facilities and equipment for its practices under noncancelable operating and finance lease agreements expiring on various dates through 2038.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Right-of-use assets and lease liabilities consist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8"/>
                <w:szCs w:val="18"/>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43,349</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 (included in 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37"/>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right-of-use assets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liabilities (included in accrued other)</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 (included in other long-term liabilities)</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52,232</w:t>
            </w: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components of lease costs recognized in the condensed consolidated statements of operations and comprehensive (income) loss consist of the following for the three and nine month periods ended September 30, 2024 and 2023 and are included in selling, general, and administrative expenses unless otherwise noted: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2800" w:type="dxa"/>
            <w:vAlign w:val="bottom"/>
            <w:gridSpan w:val="5"/>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800" w:type="dxa"/>
            <w:vAlign w:val="bottom"/>
            <w:gridSpan w:val="5"/>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finance lease liabilities (included in interest expense)</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costs</w:t>
            </w:r>
          </w:p>
        </w:tc>
        <w:tc>
          <w:tcPr>
            <w:tcW w:w="4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expected to be paid in each of the next five years and thereafter recorded in the condensed consolidated balance sheets for operating and finance leases as of September 30, 2024:</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year after September 30, 2024)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Long-term lease liabilities, net of current portion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0"/>
        </w:trPr>
        <w:tc>
          <w:tcPr>
            <w:tcW w:w="5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as of September 30, 2024 and December 31, 2023 was 6.76 years and 6.93 years for operating leases and 4.09 years and 4.76 years for finance leases, respectively. The weighted-average discount rate as of September 30, 2024 and December 31, 2023 was 6.69% and 6.64% for operating leases and 6.39% and 6.30% for finance leases, respectively.</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cash paid for amounts included in the measurement of lease liabilities for the nine months ended September 30, 2024 and 2023 is as follows:</w:t>
      </w:r>
    </w:p>
    <w:p>
      <w:pPr>
        <w:spacing w:after="0" w:line="235"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26060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7"/>
        </w:trPr>
        <w:tc>
          <w:tcPr>
            <w:tcW w:w="5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5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Transactions Notes Receivable</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enters into promissory notes with physicians of the Company. The notes receivable balances are satisfied through cash payments or settlements through the physicians’ compensation as part of their employee agreement. The notes receivable are amortized over a 60-month period as a reduction of compensation. The notes bear interest at the Company’s incremental borrowing rate (6.63% at September 30, 2024 and 7.18% at December 31, 2023,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38"/>
        </w:trPr>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4/30/2024</w:t>
            </w:r>
          </w:p>
        </w:tc>
      </w:tr>
      <w:tr>
        <w:trPr>
          <w:trHeight w:val="27"/>
        </w:trPr>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5/31/2024</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8</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5/1/2025</w:t>
            </w:r>
          </w:p>
        </w:tc>
      </w:tr>
      <w:tr>
        <w:trPr>
          <w:trHeight w:val="27"/>
        </w:trPr>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10</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7/12/2024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7/12/2029</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11</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3"/>
        </w:trPr>
        <w:tc>
          <w:tcPr>
            <w:tcW w:w="2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notes receivables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5"/>
        </w:trPr>
        <w:tc>
          <w:tcPr>
            <w:tcW w:w="23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Current portion of notes</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05"/>
        </w:trPr>
        <w:tc>
          <w:tcPr>
            <w:tcW w:w="238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Notes receivable, less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2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portion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is in the process of extending maturity date for this note.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left="580" w:right="460"/>
        <w:spacing w:after="0" w:line="260" w:lineRule="auto"/>
        <w:rPr>
          <w:sz w:val="20"/>
          <w:szCs w:val="20"/>
          <w:color w:val="auto"/>
        </w:rPr>
      </w:pPr>
      <w:r>
        <w:rPr>
          <w:rFonts w:ascii="Times New Roman" w:cs="Times New Roman" w:eastAsia="Times New Roman" w:hAnsi="Times New Roman"/>
          <w:sz w:val="18"/>
          <w:szCs w:val="18"/>
          <w:color w:val="auto"/>
        </w:rPr>
        <w:t>The Company has operating leases for eleven of the office facilities owned by employees of the Company. Total cash was approximately $0.5 million and $1.8 million paid for leases to related parties for the three and nine months ended September 30, 2024.</w:t>
      </w:r>
    </w:p>
    <w:p>
      <w:pPr>
        <w:spacing w:after="0" w:line="208" w:lineRule="exact"/>
        <w:rPr>
          <w:sz w:val="20"/>
          <w:szCs w:val="20"/>
          <w:color w:val="auto"/>
        </w:rPr>
      </w:pPr>
    </w:p>
    <w:p>
      <w:pPr>
        <w:ind w:left="580" w:right="14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ten of the office facilities owned by employees of the Company. Total cash was approximately $0.6 million and $1.9 million paid for leases to related parties for the three and nine months ended September 30, 2023.</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Inventory Purchases/Concentration Risk</w:t>
      </w:r>
    </w:p>
    <w:p>
      <w:pPr>
        <w:spacing w:after="0" w:line="18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purchases the majority of pharmaceuticals inventory from a subsidiary under common control of a Legacy AON Shareholder. During the three months ended September 30, 2024 and 2023, the Company purchased approximately $395.0 million and $268.0 million, respectively, from the related party. These purchases were approximately 91% and 86% as a percentage of cost of revenue for the three months ended September 30, 2024 and 2023, respectively. During the nine months ended September 30, 2024 and 2023, the Company purchased approximately $1,081.0 million and $774.0 million, respectively, from the related party. These purchases were approximately 91% and 88% as a percentage of cost of revenue for the nine months ended September 30, 2024 and 2023, respectively. At September 30, 2024 and December 31, 2023, the Company had $144.0 million and $120.9 million, respectively, included in accounts payable for invoices from the related party, representing 92% of accounts payable at each period-end.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Equity-Based Compensation</w:t>
      </w:r>
    </w:p>
    <w:p>
      <w:pPr>
        <w:spacing w:after="0" w:line="25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The Company maintains a single equity incentive plan, the “2023 Incentive Equity Plan”, which was adopted by the Board of Directors and approved by stockholders in connection with the Business Combination. A total of 5,300,000 shares were authorized under the 2023 Incentive Equity Plan. The number of shares of common stock available for issuance under the 2023 Incentive Equity Plan will be increased annually on the first day of each fiscal year during the term of the 2023 Incentive Equity Plan by an amount equal to the lesser of (a) 5% of the shares of common stock outstanding on the final day of the immediately preceding calendar year or (b) such smaller number of shares as determined by the Company’s board of directors. At September 30, 2024, 1,143,190 shares were available for grant under the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granted 4,746,521 Restricted Stock Units (“RSUs”) to employees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the RSU activity during the nine month period ending September 30,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188595</wp:posOffset>
            </wp:positionV>
            <wp:extent cx="33089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2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48"/>
        </w:trPr>
        <w:tc>
          <w:tcPr>
            <w:tcW w:w="3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w:t>
            </w:r>
          </w:p>
        </w:tc>
      </w:tr>
      <w:tr>
        <w:trPr>
          <w:trHeight w:val="238"/>
        </w:trPr>
        <w:tc>
          <w:tcPr>
            <w:tcW w:w="346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0" w:type="dxa"/>
            <w:vAlign w:val="bottom"/>
          </w:tcPr>
          <w:p>
            <w:pPr>
              <w:spacing w:after="0"/>
              <w:rPr>
                <w:sz w:val="20"/>
                <w:szCs w:val="20"/>
                <w:color w:val="auto"/>
              </w:rPr>
            </w:pPr>
          </w:p>
        </w:tc>
        <w:tc>
          <w:tcPr>
            <w:tcW w:w="282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34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3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34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$1.5 million and $16.1 million in stock-based compensation expense related to outstanding RSUs during the three and nine months ended September 30, 2024, respectively.</w:t>
      </w:r>
    </w:p>
    <w:p>
      <w:pPr>
        <w:spacing w:after="0" w:line="18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$6.2 million of total unrecognized compensation expense related to RSUs, which is expected to be recognized over a weighted-average period of approximately 1.64 years.</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fair value of the RSUs is determined on the date of the grant based on the market price of the Company’s common stock on that date. Each RSU represents the right to receive one share of the Company’s common stock, upon vesting. Portions of the RSUs granted vest immediately with others vesting over one to two years following the grant date, subject to the individual’s continued service to the Company through the applicable vesting date, and are subject to the terms and conditions on the Company’s form of RSU agreement under the 2023 Incentive Equity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Prior Period Presentation</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For periods prior to the Reverse Recapitalization, AON LLC had equity and stock-based compensation described below authorized, issued and outstanding. As discussed in Note 1, upon the Closing of the Business Combination, Legacy AON Shareholders received Class A Common Stock, Class B Common Stock, or Class B Prefunded Warrants and AON LLC reclassified their existing Class A, Class A-1, and Class B Units into AON LLC Common Units, pursuant to the terms of the Business Combination Agreement.</w:t>
      </w:r>
    </w:p>
    <w:p>
      <w:pPr>
        <w:spacing w:after="0" w:line="20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recasted Historical AON LLC Equity outstanding for the periods prior to the Reverse Recapitalization, equal to the Per Company Unit Exchange Ratio, pursuant to the Business Combination, that was applied to the Class A, Class A-1, and Class B Units. The historical AON LLC units disclosed in this note give effect to the conversion for all periods presented, as follows.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A Units</w:t>
      </w:r>
    </w:p>
    <w:p>
      <w:pPr>
        <w:spacing w:after="0" w:line="254"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AON LLC had authorized 19,495,376 units of Class A Units, of which 19,495,376 units were issued and were outstanding as of December 31, 2022.</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A-1 Units</w:t>
      </w:r>
    </w:p>
    <w:p>
      <w:pPr>
        <w:spacing w:after="0" w:line="254"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AON LLC had authorized 3,000,245 units of Class A-1 Units, of which 1,842,520 units were issued and were outstanding as of December 31, 2022.</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 Units (Profit Interest)</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 xml:space="preserve">The Class B units were issued through the 2017 Profits Interest Plan adopted by the Company in October 2017. The Class B Units represented a non-voting equity interest in AON LLC that entitled the holder to appreciation in the equity value of AON LLC arising after the date of grant and after such time as an applicable hurdle amount is met. AON LLC recognized the cost of services received in exchange for Class B Units based on the grant-date fair value. That cost was recognized over the period during which the service provider is required to provide service in exchange for the award over the requisite service period or based on performance. AON LLC used the Black-Scholes-Merton pricing model to estimate the fair value of profits interest unit awards. </w:t>
      </w:r>
      <w:r>
        <w:rPr>
          <w:rFonts w:ascii="Times New Roman" w:cs="Times New Roman" w:eastAsia="Times New Roman" w:hAnsi="Times New Roman"/>
          <w:sz w:val="18"/>
          <w:szCs w:val="18"/>
          <w:color w:val="231F20"/>
        </w:rPr>
        <w:t>On an as converted basis, as of December 31, 2022, AON LLC issued 5,614,176 Class B Units, of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4,703,628 were vested and outstanding; the remaining 910,548 of Class B units vested upon consummation of the Business Combination.</w:t>
      </w:r>
    </w:p>
    <w:p>
      <w:pPr>
        <w:spacing w:after="0" w:line="216"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changes to AON LLC’s Class A, Class A-1, and Class B Units for the three and nine months ended September 30,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62"/>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80" w:type="dxa"/>
            <w:vAlign w:val="bottom"/>
          </w:tcPr>
          <w:p>
            <w:pPr>
              <w:spacing w:after="0"/>
              <w:rPr>
                <w:sz w:val="20"/>
                <w:szCs w:val="20"/>
                <w:color w:val="auto"/>
              </w:rPr>
            </w:pP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5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 Units, value</w:t>
            </w: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 Units, units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A-1 Units, value</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Impact of Derivative liability on Class A-1 anti-dilution feature</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580" w:type="dxa"/>
            <w:vAlign w:val="bottom"/>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A-1 Units, units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1,842,520</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B Units, value</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B Units, units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4,703,628</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Units Vested</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910,548</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(5,614,176)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(5,614,176)</w:t>
            </w:r>
          </w:p>
        </w:tc>
      </w:tr>
      <w:tr>
        <w:trPr>
          <w:trHeight w:val="236"/>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B-1 Units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In June and July of 2023, the Company granted a total of 415 AON LLC Class B-1 Units to certain employees under the 2017 Profits Interest Plan (the “Plan”). Upon the closing of the Business Combination, the vested Class B-1 Units were reclassified to AON LLC Common Units and exchanged for newly issued shares of Class A</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Common Stock equal to the Per Company Unit Exchange Ratio, pursuant to the Business Combination Agreement, which resulted in the issuance of 1,047,343 shares of New AON Class A Common Stock.</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Mezzanine Equity Class C Units</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the AON LLC Class C Units were converted into AON LLC Series A Preferred Units as of the Closing Date. Concurrently,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LLC Series A Preferred Units. </w:t>
      </w:r>
      <w:r>
        <w:rPr>
          <w:rFonts w:ascii="Times New Roman" w:cs="Times New Roman" w:eastAsia="Times New Roman" w:hAnsi="Times New Roman"/>
          <w:sz w:val="18"/>
          <w:szCs w:val="18"/>
          <w:color w:val="231F20"/>
        </w:rPr>
        <w:t>On an as converted basis, as of September 20, 2023, 6,651,610 Series A Preferred Stock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issued to </w:t>
      </w:r>
      <w:r>
        <w:rPr>
          <w:rFonts w:ascii="Times New Roman" w:cs="Times New Roman" w:eastAsia="Times New Roman" w:hAnsi="Times New Roman"/>
          <w:sz w:val="18"/>
          <w:szCs w:val="18"/>
          <w:color w:val="000000"/>
        </w:rPr>
        <w:t>AEA Growth Management LP</w:t>
      </w:r>
      <w:r>
        <w:rPr>
          <w:rFonts w:ascii="Times New Roman" w:cs="Times New Roman" w:eastAsia="Times New Roman" w:hAnsi="Times New Roman"/>
          <w:sz w:val="18"/>
          <w:szCs w:val="18"/>
          <w:color w:val="231F20"/>
        </w:rPr>
        <w:t>.</w:t>
      </w:r>
    </w:p>
    <w:p>
      <w:pPr>
        <w:spacing w:after="0" w:line="21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AON LLC Class C Units were contingently redeemable convertible preferred units and classified as mezzanine equity on the condensed consolidated balance sheet as of June 30, 2023 because the units were redeemable five years from the issuance date, at the option of the holder. As of June 30, 2023, the AON LLC Class C Units were recorded at their initial carrying value, net of offering costs. The Class C Units were not being accreted to redemption value, as the redemption was not probable due to the removal of the redemption right pursuant to the Business Combination. See discussion below.</w:t>
      </w:r>
    </w:p>
    <w:p>
      <w:pPr>
        <w:spacing w:after="0" w:line="210"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Class C Units had materially the same rights as the Series A Preferred Stock issued by the Company to AEA Growth Management LP, the parent of the AON Class C Preferred Investor, with the exception of the “AON LLC Class C Unit Redemption Right” and the “Class C Option to Purchase Additional Shares”, discussed below. Further, the Class C Units did not contain a mandatory conversion feature that allowed AON LLC to force the Class C Investor to convert the Class C Units into another equity unit in AON LLC and the Class C Units did not have a one time conversion price adjustment.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C Unit Redemption Right</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After the fifth anniversary of the Effective Date (June 7, 2028), the holders of a majority of the Class C Units had the right to cause the Company to redeem all of the Class C Units. The redemption price per Class C Unit was equal to the greater of (i) the Class C Liquidation Preference and (ii) the Fair Market Value of a Class C Unit (the “Class C Redemption Price”). The Class C Liquidation Preference is defined as an amount equal to the sum of (a) the Class C Preferred Return of such Class C Member and (b) the amount of such Class C Member’s Net Invested Capital Contributions of $65.0 million. The Class C Unit Preferred Return is defined as the cumulative, semiannually-compounded return of 8% per annum based on the original Net Invested Capital Contributions of $65.0 million. The Class C Unit Redemption Right was removed as of the Closing of the Business Combination.</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C Unit Option to Purchase Additional Units</w:t>
      </w:r>
    </w:p>
    <w:p>
      <w:pPr>
        <w:spacing w:after="0" w:line="25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Amended and Restated Class C Convertible Preferred Unit Purchase Agreement dated June 7, 2023, the Class C Preferred Investor had an option to purchase an additional 378 AON Class C Units until the Closing of the Business Combination at a purchase price of $26,423 per Unit (“Option Feature”). The Company determined that this Option Feature was required to be accounted for as a derivative in accordance with ASC 815. The fair value of the derivative was estimated to be $1.4 million as of June 30, 2023.</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Series A Preferred Stock (Mezzanine Equity)</w:t>
      </w:r>
    </w:p>
    <w:p>
      <w:pPr>
        <w:spacing w:after="0" w:line="252"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060606"/>
        </w:rPr>
        <w:t>New AON Series A Preferred Stock is redeemable for cash or the value of the property, rights or securities to be paid or distributed in the event of a Deemed Liquidation Event (which outside of the Company’s control). As a result, the Company has determined that the New AON Series A Preferred Stock should be classified as mezzanine equity</w:t>
      </w:r>
      <w:r>
        <w:rPr>
          <w:rFonts w:ascii="Times New Roman" w:cs="Times New Roman" w:eastAsia="Times New Roman" w:hAnsi="Times New Roman"/>
          <w:sz w:val="18"/>
          <w:szCs w:val="18"/>
          <w:color w:val="000000"/>
        </w:rPr>
        <w:t>. At the closing of the Business Combination, the Company exchanged existing AON LLC</w:t>
      </w:r>
      <w:r>
        <w:rPr>
          <w:rFonts w:ascii="Times New Roman" w:cs="Times New Roman" w:eastAsia="Times New Roman" w:hAnsi="Times New Roman"/>
          <w:sz w:val="18"/>
          <w:szCs w:val="18"/>
          <w:color w:val="060606"/>
        </w:rPr>
        <w:t xml:space="preserve"> </w:t>
      </w:r>
      <w:r>
        <w:rPr>
          <w:rFonts w:ascii="Times New Roman" w:cs="Times New Roman" w:eastAsia="Times New Roman" w:hAnsi="Times New Roman"/>
          <w:sz w:val="18"/>
          <w:szCs w:val="18"/>
          <w:color w:val="000000"/>
        </w:rPr>
        <w:t>Class C Units for Series A Preferred Stock in the Company. Based on the qualitative changes to the instrument, this exchange is considered an extinguishment for accounting purposes, with the Company recording a deemed dividend of $2.1 million to account for the difference between the carrying value of the Class C Units and the fair value of the Series A Preferred Stock at the transaction date. This amount is reflected in the December 31, 2023 condensed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consolidated statements of mezzanine and stockholders’ equity as part of the reverse recapitalization, net. See further discussion on the PIK Dividend discussed below.</w:t>
      </w:r>
    </w:p>
    <w:p>
      <w:pPr>
        <w:spacing w:after="0" w:line="189"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auto"/>
        </w:rPr>
        <w:t>The Series A Preferred Stock are not being accreted to redemption value, as the Series A Preferred Stock are not redeemable, nor are they probable of becoming redeemable.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 dividends at a cumulative, semiannually-compounded return of 8% per annum based on the original Net Invested Capital Contributions from the Class C Units of $65.0 million. These dividends may be paid in cash or accumulate into the Accrued Value at the option of New AON. The accrual shall be calculated on June 30 and December 31 and with respect to the semiannually-compounded return, no interest is required to be paid on any present or future Series A Preferred Stock accrued dividends. The Series A Preferred Stock also participate in distributions with the Class A Common stockholders.</w:t>
      </w:r>
    </w:p>
    <w:p>
      <w:pPr>
        <w:spacing w:after="0" w:line="210"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On September 20, 2023, the Company issued </w:t>
      </w:r>
      <w:r>
        <w:rPr>
          <w:rFonts w:ascii="Times New Roman" w:cs="Times New Roman" w:eastAsia="Times New Roman" w:hAnsi="Times New Roman"/>
          <w:sz w:val="18"/>
          <w:szCs w:val="18"/>
          <w:color w:val="231F20"/>
        </w:rPr>
        <w:t>6,651,610 Series A Preferred Stock to</w:t>
      </w:r>
      <w:r>
        <w:rPr>
          <w:rFonts w:ascii="Times New Roman" w:cs="Times New Roman" w:eastAsia="Times New Roman" w:hAnsi="Times New Roman"/>
          <w:sz w:val="18"/>
          <w:szCs w:val="18"/>
          <w:color w:val="auto"/>
        </w:rPr>
        <w:t xml:space="preserve"> AEA Growth Management LP. The number of Series A Preferred Stock shares issued at the Closing of the Business Combination was equal to the aggregate Class C Liquidation Preference pursuant to the Business Combination Agreement. As a result, the issuance of the Series A Preferred Stock effectively included an in-kind payout (“PIK”) of the accrued dividend since the calculation of the amount issued was based on the Class C Liquidation Preference. As of the Closing, the Company recorded a dividend of 151,610 Series A Preferred Stock PIK shares with respect to the accrued dividends on the Series A Preferred Stock (the "PIK Dividend") in the December 31, 2023 condensed consolidated statements of mezzanine and stockholders’ equity.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5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are entitled to elect and appoint one of the directors (“Series A Director”) to the Board of Directors. All other directors are appointed by the Class A and Class B Common stockholders. There are no restrictions on which matters the Series A Preferred stockholders are entitled to vote. The Series A Preferred stockholders are entitled to the number of votes equal to the number of shares of Common Stock into which the Series A Preferred Stock would be convertible on the record date of the vote.</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54"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Series A Preferred Stock is convertible, at the option of the holder, at any time, and without the payment of additional consideration by the holder, into such number of fully-paid Class A Common Stock as is determined by dividing the Accrued Value by the Conversion Price in effect at the time of conversion (“Conversion Ratio”). The Accrued Value is the Original Issue Price (which is $10.00 per share of Preferred Stock, as adjusted for any stock split, stock dividend, combination, or other recapitalization) plus any unpaid dividends, compounded semi-annually. The Conversion Price is initially $10.00 per Preferred Share subject to adjustment for dilutive issuances of additional shares, dividends to common stockholders, stock splits, mergers, and a five-year anniversary special adjustment based on the volume weighted average price of the common stock. These dividends may be paid in cash or accumulate into the Accrued Value, at the option of New AON, on June 30 and December 31 of each year. The Conversion Rights shall terminate at the close of business on the day prior to the date of a Change of Control.</w:t>
      </w:r>
    </w:p>
    <w:p>
      <w:pPr>
        <w:spacing w:after="0" w:line="21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If at any time on or after the 30th day after the five-year anniversary of the issue date, any of the Series A Preferred Stock remain outstanding and the 30-Day volume weighted average price (”VWAP”) of the Common Stock is less than $10.00 (as adjusted for any stock split, stock dividend, combination, or other recapitalization or reclassification), then the Conversion Price shall be adjusted to the greater of (x) the 30-Day VWAP on such date of determination and (y) $5.00 (as adjusted for any stock split, stock dividend, combination, or other recapitalization or reclassification).</w:t>
      </w:r>
    </w:p>
    <w:p>
      <w:pPr>
        <w:spacing w:after="0" w:line="20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New AON also has the right on or after the third-year anniversary of the date of issuance to cause all (but not less than all) of the outstanding shares of Series A Preferred Stock to be converted into shares of Class A Common Stock for each share of Series A Preferred Stock at the Conversion Ratio detailed above. The Company may only convert shares of Series A Preferred Stock into shares of Common Stock if the 30-Day VWAP of the Common Stock immediately prior to the Company Conversion Date is greater than $16.00 (as adjusted for any stock split, stock dividend, combination, or other recapitalization).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Liquidation Preferences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liquidation, dissolution or winding up of the Company or an Initial Public Offering (IPO) or Exit Event, the Series A Preferred Stock have preferential liquidation rights. If a Deemed Liquidation Event were to occur, each Series A Preferred stockholder is entitled to be paid out of the assets of the Company available for distribution, equal to the greater of the following:</w:t>
      </w:r>
    </w:p>
    <w:p>
      <w:pPr>
        <w:spacing w:after="0" w:line="203" w:lineRule="exact"/>
        <w:rPr>
          <w:sz w:val="20"/>
          <w:szCs w:val="20"/>
          <w:color w:val="auto"/>
        </w:rPr>
      </w:pPr>
    </w:p>
    <w:p>
      <w:pPr>
        <w:ind w:left="900" w:hanging="1"/>
        <w:spacing w:after="0" w:line="282"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Price of $10 per Series A Preferred Stock multiplied by the Applicable Percentage plus any Accrued Dividends on such share of Series A Preferred Stock; or</w:t>
      </w:r>
    </w:p>
    <w:p>
      <w:pPr>
        <w:spacing w:after="0" w:line="188" w:lineRule="exact"/>
        <w:rPr>
          <w:rFonts w:ascii="Times New Roman" w:cs="Times New Roman" w:eastAsia="Times New Roman" w:hAnsi="Times New Roman"/>
          <w:sz w:val="18"/>
          <w:szCs w:val="18"/>
          <w:color w:val="auto"/>
        </w:rPr>
      </w:pPr>
    </w:p>
    <w:p>
      <w:pPr>
        <w:ind w:left="900" w:right="20" w:hanging="1"/>
        <w:spacing w:after="0" w:line="282" w:lineRule="auto"/>
        <w:tabs>
          <w:tab w:leader="none" w:pos="1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A Preferred Stock been converted into Common Stock immediately prior to such Deemed Liquidation Event.</w:t>
      </w:r>
    </w:p>
    <w:p>
      <w:pPr>
        <w:spacing w:after="0" w:line="18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Series A Preferred Stock Applicable Percentage is defined as a percentage equal to (a) one hundred twenty-five percent (125%) if an Exit Event, dissolution, liquidation, or winding-up occurs prior to June 7, 2024, (b) one hundred twenty percent (120%) if an Exit Event, dissolution, liquidation, or winding up occurs after June 7, 2024, but prior to June 7, 2025, (c) one hundred fifteen percent (115%) if an Exit Event, dissolution, liquidation, or winding-up occurs after June 7, 2025, but prior to June 7, 2026, (d) one hundred ten percent (110%) if an Exit Event, dissolution, liquidation, or winding up occurs after June 7, 2026, but prior to June 7, 2027, (e) one hundred five percent (105%) if an Exit Event, dissolution, liquidation, or winding-up occurs after June 7, 2027, but prior to June 7, 2028, (f) one hundred percent (100%) if an Exit Event, dissolution, liquidation, or winding-up occurs after June 7, 2028.</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Distributions to Class A and Class A-1 Members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March 4, 2020, the AON LLC entered into the Second Amended and Restated Limited Liability Agreement (“Second Operating Agreement”) which established another class of equity, Class A-1 Units. The Second Operating Agreement provided, among other things, that the Class A and A-1 Units would receive a cumulative, annually-compounded, preferred return of 8.0% and 4.0%, respectively, on capital contributions when and if distributions are declared by the Board of the Company.</w:t>
      </w:r>
    </w:p>
    <w:p>
      <w:pPr>
        <w:spacing w:after="0" w:line="20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Prior to the issuance of the Class C Units on June 7, 2023 as discussed above, the Class A and A-1 unitholders were paid a cash distribution of $4.0 million and $4.1 million, respectively, representing the cumulative accrued preferred return to June 7, 2023.</w:t>
      </w: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On June 7, 2023, in connection with the issuance of the Class C Units, AON LLC entered into the Third Amended and Restated Limited Liability Agreement (“Third Operating Agreement”) which, among other things, eliminated any provisions for future preferred returns on Class A and A-1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56"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Basic and diluted loss per share for the three and nine months ended September 30, 2023, represents the period from September 21, 2023 to September 30, 2023, the days in the prior year periods when the Company had Class A and Class B common stock outstanding. Class B Common Stock does not have economic rights in AON Inc., including rights to dividends or distributions upon liquidation, and as a result, is not considered a participating security for basic and diluted loss per share. As such, basic and diluted loss per share of Class B Common Stock has not been presented. Series A Preferred Stock are considered participating securities for basic and diluted loss per share, but do not participate in losses. As such, basic and diluted loss per share is computed using the two-class method. For additional information, see Notes 1 and 2.</w:t>
      </w:r>
    </w:p>
    <w:p>
      <w:pPr>
        <w:spacing w:after="0" w:line="216"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Basic loss per share is based on the weighted-average number of shares of Class A Common Stock outstanding during the period. Diluted loss per share is based on the weighted-average number of shares of Class A Common Stock used for the basic loss per share calculation, adjusted for the dilutive effect of Public and Private Warrants, Restricted Stock Units, and Sponsor Earnouts, if any, using the “treasury stock” method and the convertible Series A Preferred Stock, Class B Common Stock, and Class B Prefunded Warrants, if any, using the “if-converted” method. Net loss for diluted loss per share is adjusted for the Company’s share of AON LLC’s consolidated net loss, net of AON Inc. taxes, after giving effect to Class B Common Stock and Class B Prefunded Warrants that are exchanged into potential shares of Class A Common Stock, Public and Private Warrants that are liability classified, and Series A Preferred Stock that accrue dividends, to the extent it is dilutive.</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37"/>
        </w:trPr>
        <w:tc>
          <w:tcPr>
            <w:tcW w:w="4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AON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Series A Preferred Cumulative Dividends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Series A Preferred Deemed Dividend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Reallocation of net loss attributable to Class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 as a result of the impact and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dilutive securities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53"/>
        </w:trPr>
        <w:tc>
          <w:tcPr>
            <w:tcW w:w="4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10,527,469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4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22,697,588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Prefunded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36,225,302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9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share of Class A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loss per share of Class A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loss per share for the periods presented as they were anti-dilutive. Note that the Sponsor Earnouts are excluded from the calculation of weighted-average shares for diluted loss per share as the contingency had not been met as of the period end.</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8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4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4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7,217,540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6,651,610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7,217,540</w:t>
            </w:r>
          </w:p>
        </w:tc>
        <w:tc>
          <w:tcPr>
            <w:tcW w:w="8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6,651,610</w:t>
            </w:r>
          </w:p>
        </w:tc>
      </w:tr>
      <w:tr>
        <w:trPr>
          <w:trHeight w:val="27"/>
        </w:trPr>
        <w:tc>
          <w:tcPr>
            <w:tcW w:w="4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20,445,123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25,109,551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25,109,551</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Prefunded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1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2,053,365</w:t>
            </w:r>
          </w:p>
        </w:tc>
        <w:tc>
          <w:tcPr>
            <w:tcW w:w="10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2,053,365</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w:t>
      </w:r>
    </w:p>
    <w:p>
      <w:pPr>
        <w:spacing w:after="0" w:line="25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Legacy AON Shareholders own 23,445,368 AON LLC Common Units, equal to a 63.7% of the economic interest in AON LLC as of September 30, 2024. Legacy AON Shareholders Common Units are comprised of 20,445,123 shares of Class B Common Stock and 3,000,245 Class B Prefunded Warrants, which, together with the AON LLC Common Units, may be redeemed at the option of the Legacy AON Shareholder on a one-for-one basis for shares of Class A Common Stock or the cash equivalent thereof (based on the market price of the shares of Class A Common Stock at the time of redemption) as determined by New AON. If New AON elects the redemption to be settled in cash, the cash used to settle the redemption must be funded through a private or public offering of Class A Common Stock no later than ten (10) business days after the redemption notice date. Upon the redemption of the AON LLC Common Units and Class B Common Stock for shares of Class A Common Stock or the equivalent thereof, all redeemed shares of Class B Common Stock will be cancelled. The redemption value is determined based on a five-day VWAP of the Class A common shares, subject to customary conversion rate adjustments for share splits, share dividends, and similar events affecting Class A Common Stock. After each redemption, AON LLC equity attributable to New AON and the Legacy AON Shareholders is adjusted to reflect New AON’s and the Legacy AON Shareholders’ ownership in AON LLC.</w:t>
      </w:r>
    </w:p>
    <w:p>
      <w:pPr>
        <w:spacing w:after="0" w:line="21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When applying SEC guidance concerning mezzanine classification, the Company understands that due to the NCI holders having control of the Board, if there is a sequence of remotely possible events that could trigger a redemption, this requires the instrument to be classified as temporary equity, without any regard to probability. Accordingly, though the redemption would require such a remotely possible sequence of events, and such remote sequence of events would also require, in management’s view, the Company to take extraordinary actions in order to allow such sequence of events to be remotely possible, the noncontrolling interest is currently classified as temporary equity. In the event that the controlling shareholders control redemption of the shares, the noncontrolling interest will be presented as permanent equity.</w:t>
      </w:r>
    </w:p>
    <w:p>
      <w:pPr>
        <w:spacing w:after="0" w:line="214"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greater of (1) its initial fair value plus accumulated earnings/(losses) associated with the noncontrolling interest or (2) the redemption value as of the balance sheet date. At September 30, 2024, the redeemable noncontrolling interest was recorded based on its redemption value of $91.7 million which represented a decrease of $75.3 million from its redemption value as of December 31, 2023. This measurement adjustment decreased retained deficit by $63.6 million. Each time a change of interest occurs, AON LLC equity attributable to AON Inc. and the Legacy AON Shareholders is rebalanced to reflect the changes in AON Inc.’s and the Legacy AON Shareholder’s ownership in AON LLC that occurred throughout the period.</w:t>
      </w:r>
    </w:p>
    <w:p>
      <w:pPr>
        <w:spacing w:after="0" w:line="200" w:lineRule="exact"/>
        <w:rPr>
          <w:sz w:val="20"/>
          <w:szCs w:val="20"/>
          <w:color w:val="auto"/>
        </w:rPr>
      </w:pPr>
    </w:p>
    <w:p>
      <w:pPr>
        <w:spacing w:after="0" w:line="25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economic ownership of AON LLC, for the period beginning December 31, 2023 and ending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148590</wp:posOffset>
            </wp:positionV>
            <wp:extent cx="38747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61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 beginning December 31, 2023 and ending September 30, 2024</w:t>
            </w:r>
          </w:p>
        </w:tc>
      </w:tr>
      <w:tr>
        <w:trPr>
          <w:trHeight w:val="27"/>
        </w:trPr>
        <w:tc>
          <w:tcPr>
            <w:tcW w:w="386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6"/>
        </w:trPr>
        <w:tc>
          <w:tcPr>
            <w:tcW w:w="3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AON LLC Units</w:t>
            </w: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8"/>
        </w:trPr>
        <w:tc>
          <w:tcPr>
            <w:tcW w:w="38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9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Legacy AON</w:t>
            </w:r>
          </w:p>
        </w:tc>
        <w:tc>
          <w:tcPr>
            <w:tcW w:w="1720" w:type="dxa"/>
            <w:vAlign w:val="bottom"/>
          </w:tcPr>
          <w:p>
            <w:pPr>
              <w:spacing w:after="0"/>
              <w:rPr>
                <w:sz w:val="23"/>
                <w:szCs w:val="23"/>
                <w:color w:val="auto"/>
              </w:rPr>
            </w:pPr>
          </w:p>
        </w:tc>
      </w:tr>
      <w:tr>
        <w:trPr>
          <w:trHeight w:val="238"/>
        </w:trPr>
        <w:tc>
          <w:tcPr>
            <w:tcW w:w="3860" w:type="dxa"/>
            <w:vAlign w:val="bottom"/>
          </w:tcPr>
          <w:p>
            <w:pPr>
              <w:spacing w:after="0"/>
              <w:rPr>
                <w:sz w:val="20"/>
                <w:szCs w:val="20"/>
                <w:color w:val="auto"/>
              </w:rPr>
            </w:pPr>
          </w:p>
        </w:tc>
        <w:tc>
          <w:tcPr>
            <w:tcW w:w="24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AON Inc.</w:t>
            </w: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17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4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13,330,051</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28,109,796</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41,439,847</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2,122,132</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2,122,132</w:t>
            </w:r>
          </w:p>
        </w:tc>
      </w:tr>
      <w:tr>
        <w:trPr>
          <w:trHeight w:val="27"/>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242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(126,728)</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(126,728)</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w:t>
            </w:r>
          </w:p>
        </w:tc>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4,664,428</w:t>
            </w: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(4,664,428)</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Issued</w:t>
            </w:r>
          </w:p>
        </w:tc>
        <w:tc>
          <w:tcPr>
            <w:tcW w:w="24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19,989,883</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23,445,368</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43,435,251</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4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19,989,883</w:t>
            </w:r>
          </w:p>
        </w:tc>
        <w:tc>
          <w:tcPr>
            <w:tcW w:w="19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23,445,368</w:t>
            </w:r>
          </w:p>
        </w:tc>
        <w:tc>
          <w:tcPr>
            <w:tcW w:w="1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43,435,251</w:t>
            </w:r>
          </w:p>
        </w:tc>
      </w:tr>
    </w:tbl>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income to controlling and</w:t>
            </w:r>
          </w:p>
        </w:tc>
        <w:tc>
          <w:tcPr>
            <w:tcW w:w="27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6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7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46.0 %</w:t>
            </w:r>
          </w:p>
        </w:tc>
        <w:tc>
          <w:tcPr>
            <w:tcW w:w="20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54.0 %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1"/>
        </w:trPr>
        <w:tc>
          <w:tcPr>
            <w:tcW w:w="38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Allocation of losses to controlling and</w:t>
            </w:r>
          </w:p>
        </w:tc>
        <w:tc>
          <w:tcPr>
            <w:tcW w:w="27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noncontrolling interests </w:t>
            </w:r>
            <w:r>
              <w:rPr>
                <w:rFonts w:ascii="Times New Roman" w:cs="Times New Roman" w:eastAsia="Times New Roman" w:hAnsi="Times New Roman"/>
                <w:sz w:val="14"/>
                <w:szCs w:val="14"/>
                <w:b w:val="1"/>
                <w:bCs w:val="1"/>
                <w:color w:val="auto"/>
              </w:rPr>
              <w:t>(1)</w:t>
            </w:r>
          </w:p>
        </w:tc>
        <w:tc>
          <w:tcPr>
            <w:tcW w:w="27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36.3 %</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63.7 %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38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jc w:val="both"/>
        <w:ind w:left="580" w:hanging="5"/>
        <w:spacing w:after="0" w:line="281" w:lineRule="auto"/>
        <w:tabs>
          <w:tab w:leader="none" w:pos="8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13, Series A Preferred Stock are considered participating securities for basic and diluted loss per share, but do not participate in losses. As a result, the consolidated net loss of AON LLC, during the period of January 1, 2024 through June 30, 2024, were allocated to the NCI to reflect the absorption of the Legacy AON Shareholders to a portion of the consolidated net loss of AON LLC. Net losses were not attributed to Series A Preferred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On September 12, 2024, the Company entered into a definitive agreement to purchase certain non-clinical and clinical assets of a physician practice. The purchase price for the transaction will be approximately $30.5 million, subject to customary closing adjustments, and is expected to be accounted for as a business combination. The purchase is expected to be settled in $15.6 million of cash, a note to the seller with a principal amount of $7.2 million, and $7.7 million in cash or restricted stock units expected to be paid over a three years period. The acquisition is expected to close in the first quarter of fiscal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Third Party Tender Offer</w:t>
      </w:r>
    </w:p>
    <w:p>
      <w:pPr>
        <w:spacing w:after="0" w:line="256" w:lineRule="exact"/>
        <w:rPr>
          <w:sz w:val="20"/>
          <w:szCs w:val="20"/>
          <w:color w:val="auto"/>
        </w:rPr>
      </w:pPr>
    </w:p>
    <w:p>
      <w:pPr>
        <w:ind w:left="580" w:right="80"/>
        <w:spacing w:after="0" w:line="256" w:lineRule="auto"/>
        <w:rPr>
          <w:sz w:val="20"/>
          <w:szCs w:val="20"/>
          <w:color w:val="auto"/>
        </w:rPr>
      </w:pPr>
      <w:r>
        <w:rPr>
          <w:rFonts w:ascii="Times New Roman" w:cs="Times New Roman" w:eastAsia="Times New Roman" w:hAnsi="Times New Roman"/>
          <w:sz w:val="18"/>
          <w:szCs w:val="18"/>
          <w:color w:val="auto"/>
        </w:rPr>
        <w:t>On October 4, 2024, affiliates of AEA Growth (collectively the “Bidders” or “AEA Parties”) closed on a tender offer to purchase for cash, i) 5,407,155 AON LLC Common Units from holders of such AON LLC Common Units and ii) 2,809,338 shares of New AON Class A Common Stock from holders of such New AON Class A Common Stock (the “Third Party Tender Offer”). Each AON LLC Common Unit and share of New AON Class A Common Stock was purchased by the Bidders for $4.00 less certain fees and expenses. Following the closing of the Third Party Tender Offer, the Bidders converted the 5,407,155 AON LLC Common Units into an equal number of shares of Class A Common Stock of the Company.</w:t>
      </w:r>
    </w:p>
    <w:p>
      <w:pPr>
        <w:spacing w:after="0" w:line="214" w:lineRule="exact"/>
        <w:rPr>
          <w:sz w:val="20"/>
          <w:szCs w:val="20"/>
          <w:color w:val="auto"/>
        </w:rPr>
      </w:pPr>
    </w:p>
    <w:p>
      <w:pPr>
        <w:jc w:val="both"/>
        <w:ind w:left="580" w:right="160"/>
        <w:spacing w:after="0" w:line="257" w:lineRule="auto"/>
        <w:rPr>
          <w:sz w:val="20"/>
          <w:szCs w:val="20"/>
          <w:color w:val="auto"/>
        </w:rPr>
      </w:pPr>
      <w:r>
        <w:rPr>
          <w:rFonts w:ascii="Times New Roman" w:cs="Times New Roman" w:eastAsia="Times New Roman" w:hAnsi="Times New Roman"/>
          <w:sz w:val="18"/>
          <w:szCs w:val="18"/>
          <w:color w:val="auto"/>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w:t>
      </w:r>
    </w:p>
    <w:p>
      <w:pPr>
        <w:spacing w:after="0" w:line="1" w:lineRule="exact"/>
        <w:rPr>
          <w:sz w:val="20"/>
          <w:szCs w:val="20"/>
          <w:color w:val="auto"/>
        </w:rPr>
      </w:pPr>
    </w:p>
    <w:p>
      <w:pPr>
        <w:jc w:val="both"/>
        <w:ind w:left="580" w:right="20"/>
        <w:spacing w:after="0" w:line="253" w:lineRule="auto"/>
        <w:rPr>
          <w:sz w:val="20"/>
          <w:szCs w:val="20"/>
          <w:color w:val="auto"/>
        </w:rPr>
      </w:pPr>
      <w:r>
        <w:rPr>
          <w:rFonts w:ascii="Times New Roman" w:cs="Times New Roman" w:eastAsia="Times New Roman" w:hAnsi="Times New Roman"/>
          <w:sz w:val="18"/>
          <w:szCs w:val="18"/>
          <w:color w:val="auto"/>
        </w:rPr>
        <w:t>As previously disclosed in our second quarter 10-Q filed August 14, 2024, the Company and AEA Growth entered into a Stockholders Agreement on July 19,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left="580" w:right="60"/>
        <w:spacing w:after="0" w:line="290" w:lineRule="auto"/>
        <w:rPr>
          <w:sz w:val="20"/>
          <w:szCs w:val="20"/>
          <w:color w:val="auto"/>
        </w:rPr>
      </w:pPr>
      <w:r>
        <w:rPr>
          <w:rFonts w:ascii="Times New Roman" w:cs="Times New Roman" w:eastAsia="Times New Roman" w:hAnsi="Times New Roman"/>
          <w:sz w:val="17"/>
          <w:szCs w:val="17"/>
          <w:color w:val="auto"/>
        </w:rPr>
        <w:t>On November 12, 2024, the Company and AEA AON Aggregator LLC (the “Investor”), an affiliate of AEA Growth, entered into a securities purchase agreement (the “Securities Purchase Agreement”) and closed on the sale of 8,500,000 newly issued shares of Class A Common Stock at a</w:t>
      </w:r>
    </w:p>
    <w:p>
      <w:pPr>
        <w:ind w:left="580" w:right="180"/>
        <w:spacing w:after="0" w:line="266" w:lineRule="auto"/>
        <w:rPr>
          <w:sz w:val="20"/>
          <w:szCs w:val="20"/>
          <w:color w:val="auto"/>
        </w:rPr>
      </w:pPr>
      <w:r>
        <w:rPr>
          <w:rFonts w:ascii="Times New Roman" w:cs="Times New Roman" w:eastAsia="Times New Roman" w:hAnsi="Times New Roman"/>
          <w:sz w:val="18"/>
          <w:szCs w:val="18"/>
          <w:color w:val="auto"/>
        </w:rPr>
        <w:t>price of $6.00 per share (the “Equity Financing”). The gross proceeds of the offering were $51,000,000 before deducting reimbursable fees and expenses of counsel to the Investor. The Company intends to use the proceeds of the financing for acquisition of physician practices, other capital expenditures and general corporate purposes.</w:t>
      </w:r>
    </w:p>
    <w:p>
      <w:pPr>
        <w:spacing w:after="0" w:line="203" w:lineRule="exact"/>
        <w:rPr>
          <w:sz w:val="20"/>
          <w:szCs w:val="20"/>
          <w:color w:val="auto"/>
        </w:rPr>
      </w:pPr>
    </w:p>
    <w:p>
      <w:pPr>
        <w:ind w:left="580"/>
        <w:spacing w:after="0" w:line="272" w:lineRule="auto"/>
        <w:rPr>
          <w:sz w:val="20"/>
          <w:szCs w:val="20"/>
          <w:color w:val="auto"/>
        </w:rPr>
      </w:pPr>
      <w:r>
        <w:rPr>
          <w:rFonts w:ascii="Times New Roman" w:cs="Times New Roman" w:eastAsia="Times New Roman" w:hAnsi="Times New Roman"/>
          <w:sz w:val="17"/>
          <w:szCs w:val="17"/>
          <w:color w:val="auto"/>
        </w:rPr>
        <w:t>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basis. In addition, subject to certain customary exceptions, in the event that the Company issues New Securities on or prior to November 12, 2025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w:t>
      </w:r>
    </w:p>
    <w:p>
      <w:pPr>
        <w:spacing w:after="0" w:line="2" w:lineRule="exact"/>
        <w:rPr>
          <w:sz w:val="20"/>
          <w:szCs w:val="20"/>
          <w:color w:val="auto"/>
        </w:rPr>
      </w:pPr>
    </w:p>
    <w:p>
      <w:pPr>
        <w:jc w:val="both"/>
        <w:ind w:left="580" w:right="640"/>
        <w:spacing w:after="0" w:line="266" w:lineRule="auto"/>
        <w:rPr>
          <w:sz w:val="20"/>
          <w:szCs w:val="20"/>
          <w:color w:val="auto"/>
        </w:rPr>
      </w:pPr>
      <w:r>
        <w:rPr>
          <w:rFonts w:ascii="Times New Roman" w:cs="Times New Roman" w:eastAsia="Times New Roman" w:hAnsi="Times New Roman"/>
          <w:sz w:val="18"/>
          <w:szCs w:val="18"/>
          <w:color w:val="auto"/>
        </w:rPr>
        <w:t>Investor beneficially owns at least 10% of the Company’s outstanding voting power (the “Board Right”). The Board Right is in addition to Investor’s right, as the holder of a majority-in-interest of the Series A Preferred Stock, to designate the Preferred Director (as defined in the Company’s Certificate of Designation for its Series A Preferred Stock).</w:t>
      </w:r>
    </w:p>
    <w:p>
      <w:pPr>
        <w:spacing w:after="0" w:line="203" w:lineRule="exact"/>
        <w:rPr>
          <w:sz w:val="20"/>
          <w:szCs w:val="20"/>
          <w:color w:val="auto"/>
        </w:rPr>
      </w:pPr>
    </w:p>
    <w:p>
      <w:pPr>
        <w:ind w:left="580" w:right="68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Securities Purchase Agreement, the Company and the Investor entered into a joinder to that certain Registration Rights Agreement, dated as of September 20, 2023 (the “Registration Rights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right="140"/>
        <w:spacing w:after="0" w:line="281" w:lineRule="auto"/>
        <w:rPr>
          <w:sz w:val="20"/>
          <w:szCs w:val="20"/>
          <w:color w:val="auto"/>
        </w:rPr>
      </w:pPr>
      <w:r>
        <w:rPr>
          <w:rFonts w:ascii="Times New Roman" w:cs="Times New Roman" w:eastAsia="Times New Roman" w:hAnsi="Times New Roman"/>
          <w:sz w:val="17"/>
          <w:szCs w:val="17"/>
          <w:color w:val="auto"/>
        </w:rPr>
        <w:t>Agreement”). 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p>
    <w:p>
      <w:pPr>
        <w:spacing w:after="0" w:line="191" w:lineRule="exact"/>
        <w:rPr>
          <w:sz w:val="20"/>
          <w:szCs w:val="20"/>
          <w:color w:val="auto"/>
        </w:rPr>
      </w:pPr>
    </w:p>
    <w:p>
      <w:pPr>
        <w:ind w:left="580" w:right="1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and Registration Rights Agreement Amendment are filed as Exhibits 10.1 and 10.2, respectively, to this Quarterly Report on Form 10-Q. The foregoing summaries of Securities Purchase Agreement and Registration Rights Agreement Amendment are subject to, and qualified in their entirety by, the full text of such documents, where applicable, which are incorporated herein by reference.</w:t>
      </w:r>
    </w:p>
    <w:p>
      <w:pPr>
        <w:spacing w:after="0" w:line="203" w:lineRule="exact"/>
        <w:rPr>
          <w:sz w:val="20"/>
          <w:szCs w:val="20"/>
          <w:color w:val="auto"/>
        </w:rPr>
      </w:pPr>
    </w:p>
    <w:p>
      <w:pPr>
        <w:jc w:val="both"/>
        <w:ind w:left="580" w:right="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contains certain representations and warranties, covenants and indemnities customary for similar transactions. The representations, warranties and covenants contained in the Securities Purchase Agreement were made solely for the benefit of the parties to the Securities Purchase Agreement and may be subject to limitations agreed upon by the contracting parties.</w:t>
      </w:r>
    </w:p>
    <w:p>
      <w:pPr>
        <w:spacing w:after="0" w:line="203" w:lineRule="exact"/>
        <w:rPr>
          <w:sz w:val="20"/>
          <w:szCs w:val="20"/>
          <w:color w:val="auto"/>
        </w:rPr>
      </w:pPr>
    </w:p>
    <w:p>
      <w:pPr>
        <w:ind w:left="580" w:right="20"/>
        <w:spacing w:after="0" w:line="261" w:lineRule="auto"/>
        <w:rPr>
          <w:sz w:val="20"/>
          <w:szCs w:val="20"/>
          <w:color w:val="auto"/>
        </w:rPr>
      </w:pPr>
      <w:r>
        <w:rPr>
          <w:rFonts w:ascii="Times New Roman" w:cs="Times New Roman" w:eastAsia="Times New Roman" w:hAnsi="Times New Roman"/>
          <w:sz w:val="18"/>
          <w:szCs w:val="18"/>
          <w:color w:val="auto"/>
        </w:rPr>
        <w:t>The 8,500,000 shares of Class A Common Stock that are subject to the Securities Purchase Agreement were sold and have been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Hurricanes Helene and Milton</w:t>
      </w:r>
    </w:p>
    <w:p>
      <w:pPr>
        <w:spacing w:after="0" w:line="256"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Hurricane Helene and Hurricane Milton were major hurricanes that made landfall in the Southeastern United States in late September 2024 and early October 2024, respectively. These hurricanes caused widespread property damage, flooding, power outages, communication interruptions, and severely disrupted normal economic activity in the region. The Company experienced a disruption of operations and temporary clinic closures at approximately ten locations in Florida, Georgia and North Carolina due to the hurricanes. As of this Quarterly Report on Form 10-Q, a reasonable estimate of the financial repercussions of these events cannot be made because, for example, some patient services and treatments not administered due to a clinic closure can be subsequently provided depending on the timing of a clinic reopening. We continue to assess the potential financial impact of these events, however, at this time we do not believe it will have a material effect on our business operations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provides information which AON’s management believes is relevant to an assessment and understanding of AON’s results of operations and financial condition. You should read the following discussion and analysis of AON’s financial condition and results of operations together with AON’s condensed consolidated unaudited financial statements as of September 30, 2024 and for the three and nine months ended September 30, 2024 and 2023 that are included in this Quarterly Report. This discussion should be read in conjunction with our audited consolidated financial statements as of and for the years ended December 31, 2023, 2022 and 2021, together with the related notes thereto, found in our Annual Report on Form 10-K, dated and filed with the SEC on March 28, 2024 and which is available on the SEC’s website at </w:t>
      </w:r>
      <w:r>
        <w:rPr>
          <w:rFonts w:ascii="Times New Roman" w:cs="Times New Roman" w:eastAsia="Times New Roman" w:hAnsi="Times New Roman"/>
          <w:sz w:val="18"/>
          <w:szCs w:val="18"/>
          <w:i w:val="1"/>
          <w:iCs w:val="1"/>
          <w:u w:val="single" w:color="auto"/>
          <w:color w:val="auto"/>
        </w:rPr>
        <w:t>www.sec.gov.</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the following discussion and analysis of AON Inc.’s financial condition and results of operations also contains forward-looking statements that involve risks, uncertainties and assumptions. Actual results may differ materially from those anticipated in these forward-looking statements as a result of a variety of factors. The following should be read in conjunction with the sections titled “Cautionary Note Regarding Forward-Looking Statements” and “Risk Factors.”</w:t>
      </w:r>
    </w:p>
    <w:p>
      <w:pPr>
        <w:spacing w:after="0" w:line="15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AON Management’s Discussion and Analysis of Financial Condition and Results of Operations section to “AON,”, “AON, Inc.”, “New AON”, “we,” “us,” “our,” the “Company,” and other similar terms refers to American Oncology Network, Inc., its consolidated subsidiaries and variable interest entities.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Since its inception in 2018, AON has offered an innovative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September 30, 2024, we have approximately 256 physicians and advanced practice providers across 102 locations in 20 states and the District of Columbia. Our robust platform provides oncology practices with comprehensive support, access to revenue- diversifying adjacent services and practice management expertise to empower physicians to make cancer care better for every patient.</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mission is to provide high quality, cost effective cancer care close to where patients live and work. We believe the key to accessible and equitable healthcare lies in the strength of community healthcare practices and we are committed to closing the gap in cancer care to ensure every patient has access to the optimal, comprehensive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access to the necessary adjacent services to provide comprehensive quality cancer care and preserving the delivery of personalized cancer care in the community oncology setting.</w:t>
      </w:r>
    </w:p>
    <w:p>
      <w:pPr>
        <w:spacing w:after="0" w:line="14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Through access to care-enhancing patient services such as a centralized specialty pharmacy, wide ranging clinical lab and pathology services, clinical research, diagnostic imaging, a fully integrated technology platform anchored by an oncology- specific electronic medical record system, as well as a caring management team and a variety of financial assistance programs, our patients receive expert cancer care at each of our clinics.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patients a variety of services to enhance patient care throughout the healthcare journey: high-quality and timely laboratory services for routine and specialized testing; in-house professional and technical pathology services providing complete, accurate and timely pathology reports; in-house specialty pharmacy with patient education, financial assistance, and 24/7 patient assistance; and care management support services including nutrition guidance.</w:t>
      </w:r>
    </w:p>
    <w:p>
      <w:pPr>
        <w:spacing w:after="0" w:line="15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the future of healthcare continues to transition from volume to value, we are at the forefront of this initiative by ensuring we remain focused on care quality over care quantity and maintaining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 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Though our network spans the country, our clinicians are interconnected and focused on driving change not just at their local clinics, but throughout our network. Our Network Practices not only unite in collaboration through a physician advisory board, but they also remain at the forefront of new discoveries and findings by expanding and improving cancer 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spacing w:after="0" w:line="16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invested significantly in a resilient, integrated technology platform to support the practices which includes a fully integrated electronic health record and a robust decision support tool and analytics engine. Our development of compliance materials ensures consistency and optimal patient experiences that meets or exceeds the Office of Inspector General (“OIG”) guidelines.</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0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or “Reverse Recapitalization”),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from the Nasdaq Capital Market</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21, 2024, the Company determined to voluntarily delist its Class A Common Stock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(the “Delisting”). The last trading day</w:t>
      </w:r>
    </w:p>
    <w:p>
      <w:pPr>
        <w:ind w:right="220"/>
        <w:spacing w:after="0" w:line="282" w:lineRule="auto"/>
        <w:rPr>
          <w:sz w:val="20"/>
          <w:szCs w:val="20"/>
          <w:color w:val="auto"/>
        </w:rPr>
      </w:pPr>
      <w:r>
        <w:rPr>
          <w:rFonts w:ascii="Times New Roman" w:cs="Times New Roman" w:eastAsia="Times New Roman" w:hAnsi="Times New Roman"/>
          <w:sz w:val="18"/>
          <w:szCs w:val="18"/>
          <w:color w:val="auto"/>
        </w:rPr>
        <w:t>of its Class A Common Stock and Warrants on Nasdaq was June 7, 2024. The Class A Common Stock and Warrants commenced trading on the OTCQX Best Market on June 10,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Tender Offer</w:t>
      </w:r>
    </w:p>
    <w:p>
      <w:pPr>
        <w:spacing w:after="0" w:line="25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On October 4th, 2024, affiliates of AEA Growth (collectively the “Bidders” or “AEA Parties”) closed on a tender offer to purchase for cash, i) 5,407,155 AON LLC Common Units from holders of such AON LLC Common Units and ii) 2,809,338 shares of New AON Class A Common Stock from holders of</w:t>
      </w:r>
    </w:p>
    <w:p>
      <w:pPr>
        <w:ind w:right="40"/>
        <w:spacing w:after="0" w:line="297" w:lineRule="auto"/>
        <w:rPr>
          <w:sz w:val="20"/>
          <w:szCs w:val="20"/>
          <w:color w:val="auto"/>
        </w:rPr>
      </w:pPr>
      <w:r>
        <w:rPr>
          <w:rFonts w:ascii="Times New Roman" w:cs="Times New Roman" w:eastAsia="Times New Roman" w:hAnsi="Times New Roman"/>
          <w:sz w:val="18"/>
          <w:szCs w:val="18"/>
          <w:color w:val="auto"/>
        </w:rPr>
        <w:t>such New AON Class A Common Stock (the “Third Party Tender Offer”). Each AON LLC Common Unit and share of New AON Class A Common Stock were purchased by the Bidders for $4.00 less certain fees and expenses. Following the closing of the Third Party Tender Offer, the Bidder converted the 5,407,155 AON LLC Common Units into an equal number of shares of Class A Common Stock of the Company.</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previously disclosed in our second quarter 10-Q filed August 14th, 2024, the Company and AEA Growth entered into a Stockholders Agreement on July 19th,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shares of Class A Common Stock at a price of $6.00 per share (the</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“Equity Financing”). The gross proceeds of the offering was $51,000,000 before deducting reimbursable fees and expenses of counsel to the Investor. The Company intends to use the proceeds of the financing for capital expenditures and general corporate purposes. See FN 17 Subsequent Events for more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these condensed consolidated financial statements reflect the consolidated results of operations, comprehensive income (loss), cash flows and changes in equity of AON Inc. and its wholly-owned subsidiaries. The consolidated balance sheet at September 30, 2024 presents the financial condition of AON Inc. and its consolidated subsidiaries, including AON LLC, and reflects the initial recording of the assets and liabilities of AON Inc. at their historical cost. All intercompany balances and transactions of AON LLC prior to the Reverse Recapitalization have been eliminated. All intercompany balances and transactions of AON Inc. after the Reverse Recapitalization have been eliminated.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$1.1 million and $5.3 million, respectively, of the consolidated net loss of AON LLC were attributable to the Class A Common Stockholders, and reflects the Class A Common Stockholders’ absorption of 36.1% and 29.0%, respectively, of the consolidated net loss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$0.9 million and $24.5 million, respectively, of the consolidated net losses of AON LLC were attributable to noncontrolling interest, and reflects the Legacy AON Stockholders’ absorption of 63.9% and 71.0% of the consolidated net losses of AON LLC.</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2023, $1.7 million of the consolidated net loss of AON LLC were attributable to the Class A Common Stockholders, and reflects the Class A Common Stockholders’ absorption of 19.0% of the consolidated net loss of AON LLC for the period of September 21, 2023 through September 30, 2023.</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2023, $11.9 million of the consolidated net losses of AON LLC were attributable to the noncontrolling interest, and reflects the Legacy AON Shareholders’ absorption of 81.0% of the consolidated net losses of AON LLC for the period of September 21, 2023 through September 30, 2023.</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$15.5 million and $27.0 million of the consolidated net losses of AON LLC were attributable to the Legacy AON Shareholders, respectively, to reflect their absorption of 100% of the consolidated net losses of AON LLC pertaining to the days prior to the Reverse Recapitalization.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$3.6 million of the consolidated net income of AON LLC and $4.2 million of the consolidated net loss of AON LLC, respectively, were attributable to the Class A Common Stockholders, and reflects the Class A Common Stockholders’ absorption of 30.7% and 25.9%, respectively, of the consolidated net income and loss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$6.4 million and $23.6 million, respectively, of the consolidated net losses of AON LLC were attributable to noncontrolling interest, and reflects the Legacy AON Stockholders’ absorption of 69.3% and 74.1% of the consolidated net losses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$10.1 million and $11.6 million, respectively, of the consolidated net losses of AON LLC were attributable to the Legacy AON Stockholders, to reflect their absorption of 100% of the consolidated net losses of AON LLC pertaining to the days prior to the Reverse Recapitalization.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Performance &amp; Non-GAAP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drive patient service revenues; however, we focus on certain key metrics such as:</w:t>
      </w:r>
    </w:p>
    <w:p>
      <w:pPr>
        <w:spacing w:after="0" w:line="198" w:lineRule="exact"/>
        <w:rPr>
          <w:sz w:val="20"/>
          <w:szCs w:val="20"/>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patient encounters which include initial consultations and treatments, new patient encounters, recurring patient encounters and treatments, and cancer vs non cancer patients.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referrals which are also an important driver of patient service revenue; we manage the referral pipeline locally through the coordinated efforts of our physician liaisons working with our physicians to market our practices by visiting referral sources such as, primary care providers and other medical specialties.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Operating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are primarily dependent upon factors such as:</w:t>
      </w:r>
    </w:p>
    <w:p>
      <w:pPr>
        <w:spacing w:after="0" w:line="185" w:lineRule="exact"/>
        <w:rPr>
          <w:sz w:val="20"/>
          <w:szCs w:val="20"/>
          <w:color w:val="auto"/>
        </w:rPr>
      </w:pPr>
    </w:p>
    <w:p>
      <w:pPr>
        <w:ind w:left="660" w:right="3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prescription drugs used in our treatment plans which include both intravenous and oral oncolytics. Effective management of these costs is a critical component of our business as it is our single largest expense. We manage this cost by strategic volume purchases and continuously evaluating the most clinically effective drug for cancer type through our Pharmaceutical and Therapeutics Committee.</w:t>
      </w:r>
    </w:p>
    <w:p>
      <w:pPr>
        <w:spacing w:after="0" w:line="13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compensation and benefits, including non-medical personnel, represent our second largest operating expense. These costs are impacted by both micro and macro-economic factors as well as local competition for personnel that could impact costs associated with personnel. In particular, in all of our markets, we have seen significant increases in compensation for qualified physician and nursing resources. We continuously monitor wages to mitigate the impact of variations in industry and macro-economic labor conditions.</w:t>
      </w:r>
    </w:p>
    <w:p>
      <w:pPr>
        <w:spacing w:after="0" w:line="1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all of our facilities, therefore real-estate costs are a significant component of our operating costs. We continuously monitor local and national real estate conditions to actively manage our exposure to fluctuating occupancy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Hurricanes Helene and Milton</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Hurricane Helene and Hurricane Milton were major hurricanes that made landfall in the Southeastern United States in late September 2024 and early October 2024, respectively. These hurricanes caused widespread property damage, flooding, power outages, communication interruptions, and severely disrupted normal economic activity in the region. The Company experienced a disruption of operations and temporary clinic closures at approximately ten locations in Florida, Georgia and North Carolina due to the hurricanes. As of this Quarterly Report on Form 10-Q, a reasonable estimate of the financial repercussions of these events cannot be made because, for example, some patient services and treatments not administered due to a clinic closure can be subsequently provided depending on the timing of a clinic reopening. We continue to assess the potential financial impact of these events, however, at this time we do not believe it will have a material effect on our business operations or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 Revenue, net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including managed Medicare and Medicaid; and (v) individual patients.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primary elements of patient service revenue are from fee for service (“FFS”) revenue which includes revenue from required patient infusion and injection treatments, as well as oral prescription drugs. FFS revenue comprise revenues in which we bill and collect for medical services rendered by our physicians or nurse practitioners including office visits and consults. FFS revenue also includes infusion therapies and treatment. FFS revenue consists of fees for medical services provided to patients.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encounter, proper medical coding of the charts, and the verification and authorization of each patient’s eligibility at the time services are rendered as to the payor(s) responsible for payment of such services.</w:t>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Oral prescription drugs comprise revenues from prescriptions written by our doctors to their patients which are dispensed directly by AON’s specialty pharmacy. Revenue for the oral prescription is based on fee schedules set by various PBMs and other third-party payors. The fee schedule is often subject to direct and indirect remuneration (“DIR”) fees, which are based primarily on adherence and other metrics. DIR fees may be significant and may be assessed in the periods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after payments are received against future payments. The Company recognizes revenue, net of estimated DIR fees, at the time the patient takes possession of the oral drug.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is primarily generated from service arrangements with various hospitals systems and data contracts as well as through clinical trials.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Cost of services primarily includes chemotherapy drug costs, clinician salaries and benefits, medical supplies, and clinical occupancy costs. Clinicians include oncologists, advanced practice providers such as physician assistants and nurse practitioners, and registered nurses. Specialty pharmacy costs primarily include the cost of oral medications dispensed from the specialty pharmacy including overhead costs for running a free-standing pharmacy and shipping costs to patients.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include corporate occupancy costs, technology infrastructure, operations, clinical and quality support, finance, legal, human resources, and business development. Depreciation and amortization expenses are also included in general and administrative expenses.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we expect general and administrative expenses to increase in the foreseeable future, such expenses on average are expected to decrease as a percentage of revenue over the long term, as the company continues to scale its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Transaction expenses consist of legal costs, professional fees and other due diligence expenses that were incurred in connection with the Business Combination and costs associated with the preparation for initial compliance with Sarbanes Oxley requirements. Transaction expenses also include costs associated with the Delisting, and costs associated with the Third Party Tender Offer.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to the Three and Nine Months Ended September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service revenue,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945,681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955,003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revenue increased $134.0 million, or 39.8%, due to a $133.3 million increase in patient service revenue and a $0.7 million increase in other revenue.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revenue increased $313.6 million, or 32.8%, due to a $313.1 million increase in patient service revenue and a $0.5 million increase in other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 revenue, net</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$133.3 million increase in revenue is largely attributable to a 25.2% increase in patient encounters, related to both organic growth and growth from acquired practices, driving $66.7 million of revenue increase and $45.6 million due to an increased revenue per encounter of 11.9% over the comparable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and 2023 the $313.1 million increase in revenue is largely attributable to a 18.7% increase in patient encounters, related to both organic growth and growth from acquired practices, driving a $176.4 million revenue increase with $136.7 million due to increased revenue per encounter of 12.2% over the comparable periods. This revenue growth was constrained in part by approximately $10.2 million of incremental implicit price concessions associated with accounts receivable in our legacy and new billing system as the Company transitioned its billing and collection efforts to a new billing system in the fourth quarter of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other revenue increased $0.7 million due to an increase of $2.9 million in data contracts offset by a $2.2 million decrease in clinical trial revenue.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other revenue increased $0.5 million due to an increase of $3.8 million in data contracts offset by a $3.2 million decrease in clinical trial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operating expenses increased $108.0 million, or 29.9%, due to a $122.9 million increase in cost of revenue and a $9.5 million increase in general and administrative expenses offset by a $24.4 million decrease in transaction expenses.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operating expenses increased $310.7 million, or 31.6%, due to a $312.5 million increase in cost of revenue and a $26.9 million increase in general and administrative expenses offset by a $28.7 million decrease in transaction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cost of revenue increased $122.9 million primarily driven by drug and medical supply costs, due to both increased patient encounters and cost per encounter. Increases in patient encounter volumes at our practices increased cost of revenue by $66.7 million, and the cost per encounter drove a $45.6 million increase. The increased cost of patient encounters was driven by a combination of higher drug and supply costs as well as the drug and service mix patients required. Increases in labor costs drove the remaining $10.6 million increase in cost of revenue as clinical salaries and benefit expenses grew both organically and from acquisition related activity.</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and 2023, cost of revenue increased $312.5 million primarily driven by drug and medical supply costs, due to both increased patient encounters and cost per encounter. Increases in patient encounter volumes at our practices increased cost of revenue by $140.8 million, and the cost per encounter drove a $129.8 million increase. The increased cost of patient encounters was driven by a combination of higher drug and supply costs as well as the drug and service mix patients required. Additionally, in 2024, the Company issued RSUs under the 2023 Equity Incentive Plan to employees of the Company with various vesting periods including RSUs that vest immediately, over a period of one year, and over a period of two years. The Company recognized an increase of $11.1 million of equity-based compensation expense during the nine months ended September 30, 2024 associated with the 2024 grant of RSUs, a significant amount of which was related to RSUs that vested immediately upon grant. Refer to Note 12, Equity-Based Compensation, for further discussion. Increases in labor costs drove the remaining $30.8 million increase in cost of revenue as clinical salaries and benefit expenses grew both organically and from acquisition related activity.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$9.5 million increase in general and administrative expenses results from cost growth generally consistent with the overall revenue growth between the comparable periods.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$26.9 million increase in general and administrative expenses results from cost growth generally consistent with the overall revenue growth between the comparable periods,with the exception of incremental compensation and benefit costs and certain value based care administrative costs recognized during our second fiscal quarter, which are not expected to reoccur in subsequent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w:t>
      </w:r>
    </w:p>
    <w:p>
      <w:pPr>
        <w:spacing w:after="0" w:line="20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Transaction expenses were lower in the three months ended September 30, 2024 as compared to the three months ended September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spacing w:after="0" w:line="13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expenses were lower in the nine months ended September 30, 2024 as compared to the nine months ended September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2,455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and nine months ended September 30, 2024 was due to an increase in interest rates resulting from an increase in the federal funds rate seen within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and nine months ended September 30, 2024 was due to interest Company earned as a result of investment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decrease in other expense is attributable to a non-cash expense of $1.5 million related to the fair value adjustment of the Public and Private Warrant liabilities offset by $3.3 million benefit related to the non-cash fair value adjustment of the Class A-1 derivative liability from prior period.</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decrease in other expense is attributable to a non-cash benefit of $1.3 million related to the fair value adjustment of the Public and Private Warrant liabilities as well as a $8.3 million benefit related to the non-cash fair value adjustment of the Class A-1 derivative liability from prior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change to the income tax provision for the three months ended September 30, 2024 compared to the income tax provision for the three months ended September 30, 2023 was primarily a result of the release of valuation allowance recorded discretely as a result of the acquisition of the Hawaii practice.</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change to the income tax provision for the nine months ended September 30, 2024 compared to the income tax provision for the nine months ended September 30,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September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nine months ending September 30, 2024.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to our results of operations prepared in accordance with U.S. generally accepted accounting principles (“U.S. GAAP”), which we have discussed above, we also evaluate our financial performance using Adjusted EBITDA.</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before interest expense, net; depreciation and amortization, and income tax expense; as further adjusted for the impact of certain other items that are either non-recurring, infrequent, non-cash, unusual, or items deemed by management to not be indicative of the performance of our core operations, including equity-based compensation; gain or loss on derivative liabilities; revenue cycle transformation; transaction costs; acquisition related costs; and costs and settlements associated with acquisition and divestiture related activities. As a non-GAAP financial measure, our computation of Adjusted EBITDA may vary from similarly termed non-GAAP financial measures used by other companies, making comparisons with other companies on the basis of this measure impracticable.</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computations of Adjusted EBITDA are helpful in highlighting trends in our core operating performance. In determining which adjustments are made to arrive at Adjusted EBITDA, we consider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Adjusted EBITDA to assess operating performance and make business decisions.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our determination of adjustments in arriving at our computations of Adjusted EBITDA, this non-GAAP measure has limitations as an analytical tool and should not be considered in isolation or as substitutes or alternatives to net income or loss, revenue, operating income or loss, cash flows from operating activities, or any other financial measures calculated in accordance with U.S. GAAP.</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the most closely comparable GAAP financial measure, to Adjusted EBITDA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2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loss on derivative liabilities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cycle transformation (a)</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expenses (b)</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related costs (c)</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Costs and settlements associated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acquisition &amp; divestiture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activities (d)</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Bargain purchase gain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20" w:firstLine="8"/>
        <w:spacing w:after="0" w:line="261" w:lineRule="auto"/>
        <w:tabs>
          <w:tab w:leader="none" w:pos="1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2024, represents approximately $9.1 million of incremental implicit price concessions associated with exiting a legacy billing system and implementing a new billing system, which commenced in the fourth fiscal quarter of 2023, and approximately $2.7 million of duplicative billing system operating costs as the legacy system is sunset, including write-offs of legacy system software costs.</w:t>
      </w:r>
    </w:p>
    <w:p>
      <w:pPr>
        <w:ind w:right="60" w:firstLine="8"/>
        <w:spacing w:after="0" w:line="26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in connection with the Business Combination, costs associated with preparation for initial compliance with Sarbanes Oxley requirements, as well as costs associated with the Delisting, and the Third Party Tender Offer.</w:t>
      </w:r>
    </w:p>
    <w:p>
      <w:pPr>
        <w:ind w:right="340" w:firstLine="8"/>
        <w:spacing w:after="0" w:line="254" w:lineRule="auto"/>
        <w:tabs>
          <w:tab w:leader="none" w:pos="1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transaction and other one-time costs incurred in connection with planned, completed, or terminated acquisitions, which include investment banking fees, legal diligence and related documentation costs, and finance and accounting diligence and documentation; and ii) transitionary costs incurred to integrate acquired companies into our practice and corporate operations.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legal and other costs, including settlements, associated with resolving legal matters arising during or as a result of practice acquisition and divestiture related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date, the Company has financed its operations principally through the issuance of membership units and long-term debt, and to a lesser extent, cash flows from operations. As discussed below, on June 7, 2023, the Company entered into an agreement to issue Class C Preferred Units for net proceeds of approximately $64.5 million. As of September 30, 2024, the Company had $19.4 million of cash and cash equivalents, $13.6 million available under the PNC Loan Facility, and $1.0 million of availability under its PNC Line of Credit.</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may incur operating losses and generate negative cash flows from operations for the foreseeable future due to the investments management intends to continue making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believes that the cash on hand, operating cash flows, proceeds from the $50 million Class A Common Stock Financing, and availability under PNC Facility will be sufficient to fund the Company’s operating and capital needs for at least the next 12 months. The Company’s actual results may vary due to, and its future capital requirements will depend on, many factors, including its organic growth rate and the timing and extent of acquisitions of new clinics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expansion into new markets. The Company may in the future enter into arrangements to acquire or invest in complementary businesses. The Company could use its available capital resources sooner than management currently expects. The Company may be required to seek additional equity or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5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closed the Business Combination on September 20, 2023 (“the Closing” or the “Closing Date”). As of the Closing, the Company received $1.4 million of the remaining cash held in the Trust Account after all redemptions. On the Closing Date, the Company paid $7.1 million of DTOC transaction expenses incurred as a result of the Business Combination. The Company assumed an additional $6.1 million in liabilities, of which $3.4 million were related to an excise tax and $2.7 million related to unpaid transaction expenses incurred by DTOC as a result of the Business Combination.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Financing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Debt Financing Activity</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2022, the Company amended the PNC Facility and Line of Credit agreements. The primary changes included an increase of the Facility limit from $75.0 million to $125.0 million, a decrease of the PNC Line of Credit amount from $5.0 million to $1.0 million, interest charges to be calculated based on the Bloomberg Short-Term Bank Yield Index plus 1.65% and certain financial covenants. As part of the amendments, the Company drew an additional $16.3 million in proceeds under the Facility.</w:t>
      </w:r>
    </w:p>
    <w:p>
      <w:pPr>
        <w:spacing w:after="0" w:line="1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amount outstanding under the PNC Facility as of December 31, 2023 was $81.3 million at an interest rate of 7.19%. No amounts were drawn down on the PNC Line of Credit as of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Sale of Class C Equity</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27, 2023, AON LLC and the AON Class C Preferred Investor entered into a Unit Purchase Agreement, which they subsequently amended and restated on June 7, 2023 (as amended, the “Unit Purchase Agreement”), which provides for an investment of at least $65.0 million with an option to increase the investment to $75.0 million in connection with the issuance of AON Class C Convertible Preferred Units (“AON Class C Units”) to the AON Class C Preferred Investor.</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Unit Purchase Agreement, on June 7, 2023, the AON Class C Preferred Investor purchased, and AON LLC issued and sold to the AON Class C Preferred Investor, 2,459 AON Class C Units at an aggregate purchase price of $65.0 million. Under the Unit Purchase Agreement, the AON Class C Preferred Investor has an option to purchase an additional 378 AON LLC Class C Units until the closing of the Business Combination (the “Closing”), at a purchase price of $26,432 per Unit. This option was not exercised and expired as of the Closing of the Business Combination. In connection with the Class C Unit sale, AON LLC amended and restated its operating agreement, to among other things, authorize 2,837 AON LLC Class C Units of which 2,459 were outstanding as of June 30, 2023 to the AON Class C Preferred Investor. The AON LLC Class C Units were reclassified into AON LLC Series A Preferred Units as of September 20, 2023, the Closing Date. Concurrently,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Series A Preferred Units.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Debt Financing Activity</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30, 2023, AON entered into Amendment No. 7 to its PNC Loan Facility which primarily extended the maturity date of the Facility from April 30, 2024 to June 30, 2026.</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31, 2023, AON entered into Amendment No. 3 to its Line of Credit agreement to modify certain definitions such as “change in control”. In addition, this also amended certain debt covenants, such as the EBITDA thresholds.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Debt Financing Activity</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16, 2024, AON entered into Amendment 8 to its PNC Loan Facility in order to modify the agreement to reflect that transfers of AON LLC units between AON LLC members to AON Inc. or the holder of a majority of AON Inc.’s Series A Preferred Stock, do not trigger a change of control, as defined therein, consistent with the intention of the parties to the PNC Loan Facility. In addition, Amendment 8 also amended the delinquency ratio threshold used to calculate certain debt covenants.</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also entered into Amendment No. 9 (“Amendment 9”) to its PNC Loan Facility to modify certain definitions and expand upon “Unlisted Accounts” which allowed collections received into unlisted accounts to be eligible receivables of pool balance at the end of every month up to a certain threshold. The effective date of Amendment 9 was September 11, 2024.</w:t>
      </w:r>
    </w:p>
    <w:p>
      <w:pPr>
        <w:spacing w:after="0" w:line="20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newly issued shares of Class A Common Stock at a price of $6.00</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 share (the “Equity Financing”). The gross proceeds of the offering were $51,000,000 before deducting reimbursable fees and expenses of counsel to the Investor. The Company intends to use the proceeds of the financing for acquisition of physician practices, other capital expenditures and general corporate purposes. See FN 17 Subsequent Events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information regarding sources of cash and capital expenditures in recent periods and analysis of those sources and uses is provided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for the nine months ended September 30, 2024 and 2023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39,482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(62,607)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sources and uses of our operating cash flow are operating income or operating losses, net of any non-cash items such as stock-based compensation, and depreciation and amortization. The timing of collections of accounts receivable and the payment of accounts payable, and other working capital items can also impact and cause fluctuations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operating cash flow. Cash used in operating activities decreased by $10.7 million during the nine month period ended September 30, 2024 compared to the nine month period ended September 30, 2023, primarily due to:</w:t>
      </w:r>
    </w:p>
    <w:p>
      <w:pPr>
        <w:spacing w:after="0" w:line="189" w:lineRule="exact"/>
        <w:rPr>
          <w:sz w:val="20"/>
          <w:szCs w:val="20"/>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comparative provision of $13.9 million of cash from a decrease in net loss during the nine-month period ended September 30, 2024, net of changes in adjustments to reconcile net loss to net cash used in operating activities, when compared to the nine months ended September 30, 2023; net of</w:t>
      </w:r>
    </w:p>
    <w:p>
      <w:pPr>
        <w:spacing w:after="0" w:line="20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million of cash used to fund deferred compensation for physicians in connection with acquisition activities, net of amortization of deferred compensation;</w:t>
      </w:r>
    </w:p>
    <w:p>
      <w:pPr>
        <w:spacing w:after="0" w:line="188"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comparative usage of cash of $5.5 million from accounts payable, inventory and other receivables, the changes of which are primarily associated with the timing of vendor payments for drug purchases, increases or decreases in drug inventories, and receipt of drug rebates; and</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$14.8 million for the nine months ended September 30, 2024 compared to $24.7 million net cash used in the comparable period in 2023.</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20, 2024 the Company liquidated its holdings of marketable securities, which provided net cash of $35.9 million, $14.5 million of which was used for purchases of property, plant and equipment, and $6.7 million was used for the acquisition of physician practices.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during the nine months ended September 30, 2023 was primarily comprised of $15.9 million of net cash funded to marketable securities on the balance sheet, as well as $9.5 million of cash used for the purchase of property, plant and equipment.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Net cash used by financing activities was $7.0 million for the nine months ended September 30, 2024 compared to net cash provided by in financing activities of $55.6 million for the comparable period in 2023, primarily due to $65.0 million of proceeds received from the issuance of redeemable, convertible Class C Units during the nine months ended September 30, 2023. There were no such proceeds received in the current period. Current period cash used in financing activities include $2.5 million of payments on notes payable and $3.3 million of payments on certain tax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AON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AON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AON does not engage in off-balance sheet financing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Company’s borrowings under the long-term debt arrangement as of September 30, 2024, the Company expects future cash outflows related to interest expense (based on Bloomberg Short-Term Bank Yield Index rate of 6.63% as of September 30, 2024 of $1.0 million for the remainder of 2024 and $5.4 million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expects a cash outflow of $81.3 million related to the repayment of principal when the PNC Loan Facility matures in June of 2026.</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expects the following cash flows related to operating leases with third parties: $1.0 million in 2024, $9.2 million in 2025, $8.8 million in 2026, $7.6 million in 2027, $5.9 million in 2028, and $21.5 million thereafter.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expects the following cash flows related to operating leases with related parties: $0.6 million in 2024, $2.5 million in 2025, $2.6 million in 2026, $2.5 million in 2027, $1.8 million in 2028, and $1.7 million thereafter.</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outflows related to certain vendor contracts with committed expenditures are expected to total approximately $22.9 million. The timing of the expenditures is as follows: $6.1 million in 2024 and the remaining $16.8 million in 2025.</w:t>
      </w:r>
    </w:p>
    <w:p>
      <w:pPr>
        <w:spacing w:after="0" w:line="121" w:lineRule="exact"/>
        <w:rPr>
          <w:sz w:val="20"/>
          <w:szCs w:val="20"/>
          <w:color w:val="auto"/>
        </w:rPr>
      </w:pPr>
    </w:p>
    <w:p>
      <w:pPr>
        <w:ind w:right="540"/>
        <w:spacing w:after="0" w:line="461" w:lineRule="auto"/>
        <w:rPr>
          <w:sz w:val="20"/>
          <w:szCs w:val="20"/>
          <w:color w:val="auto"/>
        </w:rPr>
      </w:pPr>
      <w:r>
        <w:rPr>
          <w:rFonts w:ascii="Times New Roman" w:cs="Times New Roman" w:eastAsia="Times New Roman" w:hAnsi="Times New Roman"/>
          <w:sz w:val="18"/>
          <w:szCs w:val="18"/>
          <w:color w:val="auto"/>
        </w:rPr>
        <w:t xml:space="preserve">The Company does not have any significant supply or other arrangements which result in material cash requirements other than as described above. </w:t>
      </w:r>
      <w:r>
        <w:rPr>
          <w:rFonts w:ascii="Times New Roman" w:cs="Times New Roman" w:eastAsia="Times New Roman" w:hAnsi="Times New Roman"/>
          <w:sz w:val="18"/>
          <w:szCs w:val="18"/>
          <w:b w:val="1"/>
          <w:bCs w:val="1"/>
          <w:color w:val="auto"/>
        </w:rPr>
        <w:t>Critical Accounting Policies and Estimates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Revenue is recognized under Accounting Standards Update (“ASU”) 2014-09 Revenue from Contracts with Customers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encounters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w:t>
      </w:r>
    </w:p>
    <w:p>
      <w:pPr>
        <w:spacing w:after="0" w:line="1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a system and estimation process for recording Medicare net patient service revenue and estimated recoupments as it relates to value-based care (“VBC”) revenue included in patient service revenue on the Consolidated Statements of Operations and Comprehensive Income (Loss). The Company’s VBC revenue is primarily generated through its participation in the Enhancing Oncology Model (“EOM”)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evaluates acquired practices in accordance with ASU 2017-01, Business Combinations (Topic 805) — Clarifying the Definition of a Business.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maintains an insurance policy for exposure to professional malpractice insurance risk beyond selected retention levels.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AON’s outstanding indebtedness bears interest at a floating rate. As a result, AON may be exposed to fluctuations in interest rates to the extent of its borrowings under these arrangements. AON does not currently engage in any hedging or derivative instruments to attempt to offset this risk. Based on the total amount of variable debt outstanding as of September 30, 2024, if the Bloomberg Short-Term Bank Yield Index increased by 1.0% due to normal market conditions, AON’s interest expense will increase by approximately $0.8 million per annum.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AON had $81.3 million of borrowings under loans with variable rates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healthcare industry is very labor intensive and salaries and benefits are subject to inflationary pressures, as are drug and medical supplies costs, medical equipment and other costs. The nationwide shortage of nurses and other clinical staff and support personnel has been a significant operating issue facing us and other healthcare providers. In particular, like others in the healthcare industry, we have experienced a shortage of nurses and other clinical staff and support personnel in certain geographic areas, which was largely driven by the COVID-19 pandemic. Nationally, the increase demand for healthcare workers has in some regions, required us to offer one-time retention bonuses, pay premium wages above standard compensation for essential workers, and even utilize higher cost temporary labor. This staffing shortage may require us to further enhance wages and benefits to recruit and retain nurses and other clinical staff and support personnel or require us to hire expensive temporary personnel. We have also experienced cost increases related to the procurement of medical supplies and equipment as well as construction of new facilities and additional capacity added to existing facilities. Our ability to pass on increased costs associated with providing healthcare to Medicare and Medicaid patients is limited due to various federal, state and local laws which have been enacted that, in certain cases, limit our ability to increase prices.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minimize the impact of inflation on our labor, drug, and supply costs primarily through maintaining strong relationship with our suppliers and GPO and renegotiated contracts with our payors. In addition, AOP has a Pharmacy and Therapeutics Committee (“P&amp;T Committee”) that meets biweekly to evaluate and modify the preferred drug formulary. The P&amp;T Committee considers the following in its formulary recommendations: 1) evidence-based research demonstrating favorable clinical outcomes of such treatment; 2) potential adverse events or side effects of such treatment; and 3) cost of such treatment to the applicable stakeholder (patient and payor).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spacing w:after="0" w:line="21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judgement in designing and evaluating the cost-benefit relationship of possible controls and procedures. Based on the evaluation of our disclosure controls and procedures as of September 30, 2024, our Chief Executive Officer and Chief Financial Officer concluded that, as a result of material weaknesses identified in our internal control over financial reporting, as previously disclosed in our Annual Report on Form 10-K, filed with the SEC on March 28, 2024, our disclosure controls and procedures were not effective as of September 30, 2024. A material weakness is a deficiency, or a combination of deficiencies, in internal control over financial reporting as defined under the Exchange Act and by the Public Company Accounting Oversight Board (United States), such that there is a reasonable possibility that a material misstatement of our annual or interim financial statements will not be prevented or detected on a timely basis. We are in the process of implementing measures designed to improve our internal control over financial reporting to remediate these material weaknesses.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(the “Quarterly Report”), you should carefully consider the risk factors previously disclosed in our Annual Report on Form 10-K, dated and filed with the SEC on March 28, 2024, as of and for the year ended December 31, 2023 (the “2023 Annual Report”) and in our quarterly report on Form 10-Q for the period ended June 30, 2024, filed with the SEC on August 14, 2024.</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the date of the Quarterly Report, there have been no material changes to the risk factors previously disclosed in our 2023 Annual Report and in our quarterly report on Form 10-Q for the period ended June 30,2024, filed with the SEC on August 14, 2024. Any of the risks discussed in these reports, as well as additional risks and uncertainties not currently known to us or that we currently deem immaterial, could materially and adversely affect our results of operations, financial condition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shares of Class A Common Stock at a price of $6.00 per share (the</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Financing”). The gross proceeds of the offering was $51,000,000, before deducting reimbursable fees and expenses of counsel to the Investor. The Company intends to use the proceeds of the financing for capital expenditures and general corporate purposes.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basis. In addition, subject to certain customary exceptions, in the event that the Company issues New Securities on or prior to November 12, 205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 Investor beneficially owns at least 10% of</w:t>
      </w:r>
    </w:p>
    <w:p>
      <w:pPr>
        <w:spacing w:after="0" w:line="1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Company’s outstanding voting power (the “Board Right”). The Board Right is in addition to Investor’s right, as the holder of a majority-in-interest of the Series A Preferred Stock, to designate the Preferred Director (as defined in the Company’s Certificate of Designation for its Series A Preferred Stock).</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Securities Purchase Agreement, the Company and the Investor entered into a joinder to that certain Registration</w:t>
      </w:r>
    </w:p>
    <w:p>
      <w:pPr>
        <w:spacing w:after="0" w:line="5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Rights Agreement, dated as of September 20, 2023 (the “Registration Rights Agreement”). 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p>
    <w:p>
      <w:pPr>
        <w:spacing w:after="0" w:line="21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and Registration Rights Agreement Amendment are filed as Exhibits 10.1 and 10.2, respectively, to this Quarterly Report on Form 10-Q. The foregoing summaries of Securities Purchase Agreement and Registration Rights Agreement Amendment are subject to, and qualified in their entirety by, the full text of such documents, where applicable, which are incorporated herein by reference.</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contains certain representations and warranties, covenants and indemnities customary for similar transactions. The representations, warranties and covenants contained in the Securities Purchase Agreement were made solely for the benefit of the parties to the Securities Purchase Agreement and may be subject to limitations agreed upon by the contracting parties.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8,500,000 shares of Class A Common Stock that are subject to the Securities Purchase Agreement were sold and have been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FF"/>
              </w:rPr>
              <w:t>Class A Common Stock Purchase Agreement</w:t>
            </w: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Amendment No. 1 to Registration Rights Agreement</w:t>
            </w: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Stockholders Agreement between the Company and AEA Growth</w:t>
            </w: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600" w:type="dxa"/>
            <w:vAlign w:val="bottom"/>
            <w:tcBorders>
              <w:bottom w:val="single" w:sz="8" w:color="0000FF"/>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Rules 13a-14(a) and 15d-14(a) under the Securities</w:t>
            </w:r>
          </w:p>
        </w:tc>
        <w:tc>
          <w:tcPr>
            <w:tcW w:w="4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and Accounting Officer) Pursuant to Rules 13a-14(a) and 15d-14(a) under the</w:t>
            </w:r>
          </w:p>
        </w:tc>
        <w:tc>
          <w:tcPr>
            <w:tcW w:w="120" w:type="dxa"/>
            <w:vAlign w:val="bottom"/>
            <w:tcBorders>
              <w:bottom w:val="single" w:sz="8" w:color="CCEEFF"/>
            </w:tcBorders>
            <w:gridSpan w:val="2"/>
            <w:shd w:val="clear" w:color="auto" w:fill="CCEEFF"/>
          </w:tcPr>
          <w:p>
            <w:pPr>
              <w:spacing w:after="0"/>
              <w:rPr>
                <w:sz w:val="17"/>
                <w:szCs w:val="17"/>
                <w:color w:val="auto"/>
              </w:rPr>
            </w:pPr>
          </w:p>
        </w:tc>
      </w:tr>
      <w:tr>
        <w:trPr>
          <w:trHeight w:val="243"/>
        </w:trPr>
        <w:tc>
          <w:tcPr>
            <w:tcW w:w="1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234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18 U.S.C. Section 1350, as Adopted Pursuant to Section</w:t>
            </w:r>
          </w:p>
        </w:tc>
      </w:tr>
      <w:tr>
        <w:trPr>
          <w:trHeight w:val="196"/>
        </w:trPr>
        <w:tc>
          <w:tcPr>
            <w:tcW w:w="1180" w:type="dxa"/>
            <w:vAlign w:val="bottom"/>
          </w:tcPr>
          <w:p>
            <w:pPr>
              <w:spacing w:after="0"/>
              <w:rPr>
                <w:sz w:val="17"/>
                <w:szCs w:val="17"/>
                <w:color w:val="auto"/>
              </w:rPr>
            </w:pPr>
          </w:p>
        </w:tc>
        <w:tc>
          <w:tcPr>
            <w:tcW w:w="99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0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(Principal Financial and Accounting Officer) Pursuant to 18 U.S.C. Section 1350, as Adopted</w:t>
            </w:r>
          </w:p>
        </w:tc>
      </w:tr>
      <w:tr>
        <w:trPr>
          <w:trHeight w:val="243"/>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500" w:type="dxa"/>
            <w:vAlign w:val="bottom"/>
            <w:tcBorders>
              <w:top w:val="single" w:sz="8" w:color="0000FF"/>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51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1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right="2540" w:firstLine="447"/>
        <w:spacing w:after="0" w:line="331" w:lineRule="auto"/>
        <w:tabs>
          <w:tab w:leader="none" w:pos="11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(Embedded within the Inline XBRL document and included in Exhibit) </w:t>
      </w:r>
      <w:r>
        <w:rPr>
          <w:rFonts w:ascii="Times New Roman" w:cs="Times New Roman" w:eastAsia="Times New Roman" w:hAnsi="Times New Roman"/>
          <w:sz w:val="18"/>
          <w:szCs w:val="18"/>
          <w:i w:val="1"/>
          <w:iCs w:val="1"/>
          <w:color w:val="auto"/>
        </w:rPr>
        <w:t>* Filed herewith</w:t>
      </w:r>
    </w:p>
    <w:p>
      <w:pPr>
        <w:ind w:left="240" w:hanging="232"/>
        <w:spacing w:after="0"/>
        <w:tabs>
          <w:tab w:leader="none" w:pos="2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1934, the registrant has duly caused this report to be signed on its behalf by the undersigned thereunto duly authorized.</w:t>
      </w:r>
    </w:p>
    <w:p>
      <w:pPr>
        <w:spacing w:after="0" w:line="2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spacing w:after="0" w:line="337" w:lineRule="exact"/>
        <w:rPr>
          <w:sz w:val="20"/>
          <w:szCs w:val="20"/>
          <w:color w:val="auto"/>
        </w:rPr>
      </w:pPr>
    </w:p>
    <w:tbl>
      <w:tblPr>
        <w:tblLayout w:type="fixed"/>
        <w:tblInd w:w="48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Todd Schonherz</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Schonherz</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 PURCHASE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CLASS A COMMON STOCK PURCHASE AGREEMENT (collectively, with all Exhibits hereto,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November 12,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AEA AON Aggregator LLC (the “</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and American Oncology Network,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Buyer and the Company are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each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4260"/>
        <w:spacing w:after="0"/>
        <w:tabs>
          <w:tab w:leader="none" w:pos="5520" w:val="left"/>
        </w:tabs>
        <w:rPr>
          <w:sz w:val="20"/>
          <w:szCs w:val="20"/>
          <w:color w:val="auto"/>
        </w:rPr>
      </w:pPr>
      <w:r>
        <w:rPr>
          <w:rFonts w:ascii="Times New Roman" w:cs="Times New Roman" w:eastAsia="Times New Roman" w:hAnsi="Times New Roman"/>
          <w:sz w:val="20"/>
          <w:szCs w:val="20"/>
          <w:b w:val="1"/>
          <w:bCs w:val="1"/>
          <w:color w:val="auto"/>
        </w:rPr>
        <w:t>Article I</w:t>
      </w:r>
      <w:r>
        <w:rPr>
          <w:sz w:val="20"/>
          <w:szCs w:val="20"/>
          <w:color w:val="auto"/>
        </w:rPr>
        <w:tab/>
      </w:r>
      <w:r>
        <w:rPr>
          <w:rFonts w:ascii="Times New Roman" w:cs="Times New Roman" w:eastAsia="Times New Roman" w:hAnsi="Times New Roman"/>
          <w:sz w:val="19"/>
          <w:szCs w:val="19"/>
          <w:b w:val="1"/>
          <w:bCs w:val="1"/>
          <w:color w:val="auto"/>
        </w:rPr>
        <w:t>– DEFINITIONS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I.1 </w:t>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As used in this Agreement, the following terms have the following meanings (unless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herein):</w:t>
      </w:r>
    </w:p>
    <w:p>
      <w:pPr>
        <w:spacing w:after="0" w:line="165" w:lineRule="exact"/>
        <w:rPr>
          <w:sz w:val="20"/>
          <w:szCs w:val="20"/>
          <w:color w:val="auto"/>
        </w:rPr>
      </w:pPr>
    </w:p>
    <w:p>
      <w:pPr>
        <w:jc w:val="both"/>
        <w:ind w:firstLine="1304"/>
        <w:spacing w:after="0" w:line="260"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Actions</w:t>
      </w:r>
      <w:r>
        <w:rPr>
          <w:rFonts w:ascii="Times New Roman" w:cs="Times New Roman" w:eastAsia="Times New Roman" w:hAnsi="Times New Roman"/>
          <w:sz w:val="20"/>
          <w:szCs w:val="20"/>
          <w:color w:val="auto"/>
        </w:rPr>
        <w:t>” means any pending or threatened claim, cause of action, demand, litigation, action, suit, arbitration, proceeding, right in action, mediation, judgment, order, settlement agreement, search warrant, civil investigative demand, or subpoena, whether known or unknown, that may be alleged or brought by any Person, Governmental Authority or any administrative, arbitration, or governmental proceeding, investigation, audit or inquiry of any nature, civil, criminal, administrative, regulatory or otherwise.</w:t>
      </w:r>
    </w:p>
    <w:p>
      <w:pPr>
        <w:spacing w:after="0" w:line="164"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the terms “controlled by” and “under common control with”) used in the preceding sentence shall mean the possession, directly or indirectly, of the power to direct or cause the direction of the work activities, management or policies of a Person, whether through ownership of securities, the election or appointment of board members, by contract or otherwise.</w:t>
      </w:r>
    </w:p>
    <w:p>
      <w:pPr>
        <w:spacing w:after="0" w:line="167" w:lineRule="exact"/>
        <w:rPr>
          <w:rFonts w:ascii="Times New Roman" w:cs="Times New Roman" w:eastAsia="Times New Roman" w:hAnsi="Times New Roman"/>
          <w:sz w:val="20"/>
          <w:szCs w:val="20"/>
          <w:color w:val="auto"/>
        </w:rPr>
      </w:pPr>
    </w:p>
    <w:p>
      <w:pPr>
        <w:ind w:right="20" w:firstLine="1304"/>
        <w:spacing w:after="0" w:line="287"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Affiliated Group</w:t>
      </w:r>
      <w:r>
        <w:rPr>
          <w:rFonts w:ascii="Times New Roman" w:cs="Times New Roman" w:eastAsia="Times New Roman" w:hAnsi="Times New Roman"/>
          <w:sz w:val="20"/>
          <w:szCs w:val="20"/>
          <w:color w:val="auto"/>
        </w:rPr>
        <w:t>” means any affiliated group within the meaning of Section 1504(a) of the Code, or any similar group defined under a similar provision of state, local or foreign Law.</w:t>
      </w:r>
    </w:p>
    <w:p>
      <w:pPr>
        <w:spacing w:after="0" w:line="13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Annual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w:t>
      </w:r>
      <w:r>
        <w:rPr>
          <w:rFonts w:ascii="Times New Roman" w:cs="Times New Roman" w:eastAsia="Times New Roman" w:hAnsi="Times New Roman"/>
          <w:sz w:val="20"/>
          <w:szCs w:val="20"/>
          <w:color w:val="auto"/>
        </w:rPr>
        <w:t xml:space="preserve">” has the meaning set for the in </w:t>
      </w:r>
      <w:r>
        <w:rPr>
          <w:rFonts w:ascii="Times New Roman" w:cs="Times New Roman" w:eastAsia="Times New Roman" w:hAnsi="Times New Roman"/>
          <w:sz w:val="20"/>
          <w:szCs w:val="20"/>
          <w:u w:val="single" w:color="auto"/>
          <w:color w:val="auto"/>
        </w:rPr>
        <w:t>Section 3.21(b)</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Balance Sheet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 the meaning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BIS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3.28</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“Businesses</w:t>
      </w:r>
      <w:r>
        <w:rPr>
          <w:rFonts w:ascii="Times New Roman" w:cs="Times New Roman" w:eastAsia="Times New Roman" w:hAnsi="Times New Roman"/>
          <w:sz w:val="20"/>
          <w:szCs w:val="20"/>
          <w:color w:val="auto"/>
        </w:rPr>
        <w:t>” means, collectively, the businesses operated by the Company Entities.</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has the meaning set forth in the preamble.</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3" w:name="page74"/>
    <w:bookmarkEnd w:id="73"/>
    <w:p>
      <w:pPr>
        <w:jc w:val="both"/>
        <w:ind w:firstLine="1304"/>
        <w:spacing w:after="0" w:line="260" w:lineRule="auto"/>
        <w:tabs>
          <w:tab w:leader="none" w:pos="193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CARES Act</w:t>
      </w:r>
      <w:r>
        <w:rPr>
          <w:rFonts w:ascii="Times New Roman" w:cs="Times New Roman" w:eastAsia="Times New Roman" w:hAnsi="Times New Roman"/>
          <w:sz w:val="20"/>
          <w:szCs w:val="20"/>
          <w:color w:val="auto"/>
        </w:rPr>
        <w:t>” means the Coronavirus Aid, Relief, and Economic Security Act and any other COVID-19 or pandemic-related funding, stimulus, advance, deferral or loan program, and all regulations and guidance issued by any Governmental Authority with respect thereto, in each case as in effect from time to time, including subsequent legislation in effect as of the date of this Agreement amending paragraph 36 of Section 7(a) of the Small Business Act.</w:t>
      </w:r>
    </w:p>
    <w:p>
      <w:pPr>
        <w:spacing w:after="0" w:line="164" w:lineRule="exact"/>
        <w:rPr>
          <w:rFonts w:ascii="Times New Roman" w:cs="Times New Roman" w:eastAsia="Times New Roman" w:hAnsi="Times New Roman"/>
          <w:sz w:val="20"/>
          <w:szCs w:val="20"/>
          <w:color w:val="auto"/>
        </w:rPr>
      </w:pPr>
    </w:p>
    <w:p>
      <w:pPr>
        <w:ind w:right="20" w:firstLine="1304"/>
        <w:spacing w:after="0" w:line="287" w:lineRule="auto"/>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means, collectively, the Company’s Second Amended and Restated Certificate of Incorporation and the Certificate of Designations of the Preferred Stock.</w:t>
      </w:r>
    </w:p>
    <w:p>
      <w:pPr>
        <w:spacing w:after="0" w:line="15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Claim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means the Class A Common Stock of the Company, par value $0.0001 per share.</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B Common Stock</w:t>
      </w:r>
      <w:r>
        <w:rPr>
          <w:rFonts w:ascii="Times New Roman" w:cs="Times New Roman" w:eastAsia="Times New Roman" w:hAnsi="Times New Roman"/>
          <w:sz w:val="20"/>
          <w:szCs w:val="20"/>
          <w:color w:val="auto"/>
        </w:rPr>
        <w:t>” means the Class B Common Stock of the Company, par value $0.0001 per share.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the meaning set forth in the introductory paragraph.</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Entities</w:t>
      </w:r>
      <w:r>
        <w:rPr>
          <w:rFonts w:ascii="Times New Roman" w:cs="Times New Roman" w:eastAsia="Times New Roman" w:hAnsi="Times New Roman"/>
          <w:sz w:val="20"/>
          <w:szCs w:val="20"/>
          <w:color w:val="auto"/>
        </w:rPr>
        <w:t>” means the Company and each Subsidiary of the Company.</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Company Indemnified Parties</w:t>
      </w:r>
      <w:r>
        <w:rPr>
          <w:rFonts w:ascii="Times New Roman" w:cs="Times New Roman" w:eastAsia="Times New Roman" w:hAnsi="Times New Roman"/>
          <w:sz w:val="20"/>
          <w:szCs w:val="20"/>
          <w:color w:val="auto"/>
        </w:rPr>
        <w:t>” has the meaning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IP</w:t>
      </w:r>
      <w:r>
        <w:rPr>
          <w:rFonts w:ascii="Times New Roman" w:cs="Times New Roman" w:eastAsia="Times New Roman" w:hAnsi="Times New Roman"/>
          <w:sz w:val="20"/>
          <w:szCs w:val="20"/>
          <w:color w:val="auto"/>
        </w:rPr>
        <w:t>” means all Intellectual Property, proprietary software and other intangible personal property that are owned or purported to be owned by the Company Entities and used in or held for the benefit of the Businesses, including all Intellectual Property, software and other intangible personal property, and all tangible embodiments thereof, and, all trade names used by the Company Entities.</w:t>
      </w:r>
    </w:p>
    <w:p>
      <w:pPr>
        <w:spacing w:after="0" w:line="1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Registered IP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70" w:lineRule="auto"/>
        <w:tabs>
          <w:tab w:leader="none" w:pos="19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means, with respect to any Person, any written notice, estoppel, qualification, amendment, modification, extension, approval, authorization, permission or waiver of, or registration, declaration or other action, communication or filing with or exemption by, such Person.</w:t>
      </w:r>
    </w:p>
    <w:p>
      <w:pPr>
        <w:spacing w:after="0" w:line="15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(ab) “</w:t>
      </w:r>
      <w:r>
        <w:rPr>
          <w:rFonts w:ascii="Times New Roman" w:cs="Times New Roman" w:eastAsia="Times New Roman" w:hAnsi="Times New Roman"/>
          <w:sz w:val="20"/>
          <w:szCs w:val="20"/>
          <w:b w:val="1"/>
          <w:bCs w:val="1"/>
          <w:i w:val="1"/>
          <w:iCs w:val="1"/>
          <w:color w:val="auto"/>
        </w:rPr>
        <w:t>Contract</w:t>
      </w:r>
      <w:r>
        <w:rPr>
          <w:rFonts w:ascii="Times New Roman" w:cs="Times New Roman" w:eastAsia="Times New Roman" w:hAnsi="Times New Roman"/>
          <w:sz w:val="20"/>
          <w:szCs w:val="20"/>
          <w:color w:val="auto"/>
        </w:rPr>
        <w:t>” means all legally binding written contracts, leases, mortgages, licenses, instruments, notes, commitments, undertakings, indentures and other agreements relating to the operation of the Businesses to which a Company Entity is a party or by which it or any of the Company Entities are bound, including agreements with payers, physicians and other providers, agreements with health maintenance organizations, independent practice associations, preferred provider organizations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0"/>
          <w:szCs w:val="20"/>
          <w:color w:val="auto"/>
        </w:rPr>
        <w:t>other managed care plans and alternative delivery systems, joint venture and partnership agreements, management, employment, retirement, retention and severance agreements, vendor agreements, real and personal property leases and schedules, maintenance agreements and schedules, agreements with municipalities and labor organizations, and bonds, mortgages and other loan agreements.</w:t>
      </w:r>
    </w:p>
    <w:p>
      <w:pPr>
        <w:spacing w:after="0" w:line="17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(ac) “</w:t>
      </w:r>
      <w:r>
        <w:rPr>
          <w:rFonts w:ascii="Times New Roman" w:cs="Times New Roman" w:eastAsia="Times New Roman" w:hAnsi="Times New Roman"/>
          <w:sz w:val="20"/>
          <w:szCs w:val="20"/>
          <w:b w:val="1"/>
          <w:bCs w:val="1"/>
          <w:i w:val="1"/>
          <w:iCs w:val="1"/>
          <w:color w:val="auto"/>
        </w:rPr>
        <w:t>Cost Reports</w:t>
      </w:r>
      <w:r>
        <w:rPr>
          <w:rFonts w:ascii="Times New Roman" w:cs="Times New Roman" w:eastAsia="Times New Roman" w:hAnsi="Times New Roman"/>
          <w:sz w:val="20"/>
          <w:szCs w:val="20"/>
          <w:color w:val="auto"/>
        </w:rPr>
        <w:t>” means all cost and other reports filed pursuant to the requirements of Government Reimbursement Programs, and similar or successor programs with or for the benefit of Governmental Authorities for payment or reimbursement of amounts due from them.</w:t>
      </w:r>
    </w:p>
    <w:p>
      <w:pPr>
        <w:spacing w:after="0" w:line="16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D&amp;O Policy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has the meaning set forth in Section 3.16(a).</w:t>
            </w:r>
          </w:p>
        </w:tc>
      </w:tr>
      <w:tr>
        <w:trPr>
          <w:trHeight w:val="20"/>
        </w:trPr>
        <w:tc>
          <w:tcPr>
            <w:tcW w:w="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(ae)</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 Benefit Plans</w:t>
            </w:r>
            <w:r>
              <w:rPr>
                <w:rFonts w:ascii="Times New Roman" w:cs="Times New Roman" w:eastAsia="Times New Roman" w:hAnsi="Times New Roman"/>
                <w:sz w:val="20"/>
                <w:szCs w:val="20"/>
                <w:color w:val="auto"/>
              </w:rPr>
              <w:t>” means, collectively, each “employee pension benefit plan” and “employee welfare</w:t>
            </w:r>
          </w:p>
        </w:tc>
      </w:tr>
    </w:tbl>
    <w:p>
      <w:pPr>
        <w:jc w:val="both"/>
        <w:spacing w:after="0" w:line="249" w:lineRule="auto"/>
        <w:rPr>
          <w:sz w:val="20"/>
          <w:szCs w:val="20"/>
          <w:color w:val="auto"/>
        </w:rPr>
      </w:pPr>
      <w:r>
        <w:rPr>
          <w:rFonts w:ascii="Times New Roman" w:cs="Times New Roman" w:eastAsia="Times New Roman" w:hAnsi="Times New Roman"/>
          <w:sz w:val="20"/>
          <w:szCs w:val="20"/>
          <w:color w:val="auto"/>
        </w:rPr>
        <w:t>benefit plan” as those terms are defined in Section 3(3) of ERISA (whether or not subject to ERISA), stock option or equity-based compensation, employee stock ownership, employment, deferred compensation, severance pay, leave, vacation, bonus or other incentive agreement, arrangement, plan or policy, currently maintained by, sponsored in whole or in part by, or contributed to by any Company Entity for the benefit of any current or former employees of the Businesses and their respective dependents, spouses, or other beneficiaries and any current or former service providers of the Businesses.</w:t>
      </w:r>
    </w:p>
    <w:p>
      <w:pPr>
        <w:spacing w:after="0" w:line="19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(af) “</w:t>
      </w:r>
      <w:r>
        <w:rPr>
          <w:rFonts w:ascii="Times New Roman" w:cs="Times New Roman" w:eastAsia="Times New Roman" w:hAnsi="Times New Roman"/>
          <w:sz w:val="20"/>
          <w:szCs w:val="20"/>
          <w:b w:val="1"/>
          <w:bCs w:val="1"/>
          <w:i w:val="1"/>
          <w:iCs w:val="1"/>
          <w:color w:val="auto"/>
        </w:rPr>
        <w:t>Encumbrances</w:t>
      </w:r>
      <w:r>
        <w:rPr>
          <w:rFonts w:ascii="Times New Roman" w:cs="Times New Roman" w:eastAsia="Times New Roman" w:hAnsi="Times New Roman"/>
          <w:sz w:val="20"/>
          <w:szCs w:val="20"/>
          <w:color w:val="auto"/>
        </w:rPr>
        <w:t>” means liabilities, levies, claims, charges, assessments, mortgages, security interests, liens, pledges, conditional sales agreements, title retention contracts, easements, restrictions, rights of first refusal, options to purchase and other encumbrances (including limitations on pledging or mortgaging any of the Shares) and Contracts to create in the future any such Encumbrance or suffer any of the foregoing, except for any encumbrances created by the execution of this Agreement or the Side Letter.</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(ag)</w:t>
            </w: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has the meaning set forth in Section 3.15(a).</w:t>
            </w:r>
          </w:p>
        </w:tc>
      </w:tr>
      <w:tr>
        <w:trPr>
          <w:trHeight w:val="20"/>
        </w:trPr>
        <w:tc>
          <w:tcPr>
            <w:tcW w:w="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5"/>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(ah)</w:t>
            </w: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ERISA</w:t>
            </w:r>
            <w:r>
              <w:rPr>
                <w:rFonts w:ascii="Times New Roman" w:cs="Times New Roman" w:eastAsia="Times New Roman" w:hAnsi="Times New Roman"/>
                <w:sz w:val="20"/>
                <w:szCs w:val="20"/>
                <w:color w:val="auto"/>
                <w:w w:val="98"/>
              </w:rPr>
              <w:t>” means the Employee Retirement Income Security Act of 1974, as amended.</w:t>
            </w:r>
          </w:p>
        </w:tc>
      </w:tr>
    </w:tbl>
    <w:p>
      <w:pPr>
        <w:spacing w:after="0" w:line="183"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0"/>
          <w:szCs w:val="20"/>
          <w:color w:val="auto"/>
        </w:rPr>
        <w:t xml:space="preserve">(ai)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each trade or business (whether or not incorporated) which, together with any Company Entity, is treated as a single employer for any purpose under (i) Section 414(b), (c), (m) or (o) of the Code, or (ii) Section 302 or Title IV of</w:t>
      </w: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18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(aj)</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has the meaning set forth in Section 3.25.</w:t>
            </w:r>
          </w:p>
        </w:tc>
      </w:tr>
      <w:tr>
        <w:trPr>
          <w:trHeight w:val="20"/>
        </w:trPr>
        <w:tc>
          <w:tcPr>
            <w:tcW w:w="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(ak)</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 has the meaning set forth in Section 3.5.</w:t>
            </w:r>
          </w:p>
        </w:tc>
      </w:tr>
      <w:tr>
        <w:trPr>
          <w:trHeight w:val="20"/>
        </w:trPr>
        <w:tc>
          <w:tcPr>
            <w:tcW w:w="5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(al)</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U.S. generally accepted accounting principles, as in effect from time to time.</w:t>
            </w:r>
          </w:p>
        </w:tc>
      </w:tr>
      <w:tr>
        <w:trPr>
          <w:trHeight w:val="45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(am)</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Governing Documents</w:t>
            </w:r>
            <w:r>
              <w:rPr>
                <w:rFonts w:ascii="Times New Roman" w:cs="Times New Roman" w:eastAsia="Times New Roman" w:hAnsi="Times New Roman"/>
                <w:sz w:val="20"/>
                <w:szCs w:val="20"/>
                <w:color w:val="auto"/>
              </w:rPr>
              <w:t>” means, for the entity in question, that entity’s Articles of Incorporation, Certificate of</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Formation, Certificate of Limited Partnership, other filings with the applicable Secretary of State, Bylaws, Partnership Agreement, Limited Liability Company Agreement or other similar documents for the governance of the entity.</w:t>
      </w:r>
    </w:p>
    <w:p>
      <w:pPr>
        <w:spacing w:after="0" w:line="178"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Government Reimbursement Programs</w:t>
      </w:r>
      <w:r>
        <w:rPr>
          <w:rFonts w:ascii="Times New Roman" w:cs="Times New Roman" w:eastAsia="Times New Roman" w:hAnsi="Times New Roman"/>
          <w:sz w:val="20"/>
          <w:szCs w:val="20"/>
          <w:color w:val="auto"/>
        </w:rPr>
        <w:t>” shall mean any programs funded or administered by a Governmental Authority, or contractor(s) thereof, for the purposes of paying for health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20"/>
          <w:szCs w:val="20"/>
          <w:color w:val="auto"/>
        </w:rPr>
        <w:t>care services. Such programs shall include, but not be limited to, Medicare, Medicaid, TRICARE, the Civilian Health and Medical Program of the Department of Veterans Affairs, programs administered by the U.S. Department of Labor Employment Standards Administration’s Office of Workers’ Compensation Programs (e.g., administration of claims pursuant to the Black Lung Benefits Act), and similar or successor programs with or for the benefit of designated federal or state residents.</w:t>
      </w:r>
    </w:p>
    <w:p>
      <w:pPr>
        <w:spacing w:after="0" w:line="168"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(ao) “</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any executive, legislative or judicial agency, authority, board, body, commission, court, department, instrumentality or office of any federal, state, city, county, district, municipality, foreign or other government or quasi-government unit or political subdivision.</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(ap)</w:t>
            </w: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Hazardous Materials</w:t>
            </w:r>
            <w:r>
              <w:rPr>
                <w:rFonts w:ascii="Times New Roman" w:cs="Times New Roman" w:eastAsia="Times New Roman" w:hAnsi="Times New Roman"/>
                <w:sz w:val="20"/>
                <w:szCs w:val="20"/>
                <w:i w:val="1"/>
                <w:iCs w:val="1"/>
                <w:color w:val="auto"/>
                <w:w w:val="99"/>
              </w:rPr>
              <w:t>”</w:t>
            </w:r>
            <w:r>
              <w:rPr>
                <w:rFonts w:ascii="Times New Roman" w:cs="Times New Roman" w:eastAsia="Times New Roman" w:hAnsi="Times New Roman"/>
                <w:sz w:val="20"/>
                <w:szCs w:val="20"/>
                <w:color w:val="auto"/>
                <w:w w:val="99"/>
              </w:rPr>
              <w:t xml:space="preserve"> has the meaning set forth in Section</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3.15(a).</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(aq)</w:t>
            </w: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Laws</w:t>
            </w:r>
            <w:r>
              <w:rPr>
                <w:rFonts w:ascii="Times New Roman" w:cs="Times New Roman" w:eastAsia="Times New Roman" w:hAnsi="Times New Roman"/>
                <w:sz w:val="20"/>
                <w:szCs w:val="20"/>
                <w:color w:val="auto"/>
              </w:rPr>
              <w:t>” means all relevant state and federal</w:t>
            </w:r>
          </w:p>
        </w:tc>
        <w:tc>
          <w:tcPr>
            <w:tcW w:w="4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civil or criminal healthcare Laws applicable to the</w:t>
            </w:r>
          </w:p>
        </w:tc>
      </w:tr>
    </w:tbl>
    <w:p>
      <w:pPr>
        <w:jc w:val="both"/>
        <w:spacing w:after="0" w:line="249" w:lineRule="auto"/>
        <w:rPr>
          <w:sz w:val="20"/>
          <w:szCs w:val="20"/>
          <w:color w:val="auto"/>
        </w:rPr>
      </w:pPr>
      <w:r>
        <w:rPr>
          <w:rFonts w:ascii="Times New Roman" w:cs="Times New Roman" w:eastAsia="Times New Roman" w:hAnsi="Times New Roman"/>
          <w:sz w:val="20"/>
          <w:szCs w:val="20"/>
          <w:color w:val="auto"/>
        </w:rPr>
        <w:t>Businesses, including Medicaid (Title XIX of the Social Security Act, 42 U.S.C. §§ 1396-1396w-5), Medicare (Title XVIII of the Social Security Act, 42 U.S.C. §§ 1395-1395lll), the federal Anti-kickback Statute (42 U.S.C. § 1320a-7b(b)), the Stark Law (42 U.S.C. § 1395nn), the civil False Claims Act (31 U.S.C. § 3729 et seq.), the administrative False Claims Law (42 U.S.C. § 1320a-7b(a)), the Civil Money Penalties Law (42 U.S.C. § 1320a-7a; 42 U.S.C. § 1320c-8(a)), the Anti-Kickback Act of 1986 (41 U.S.C. §§ 51-58), HIPAA, the exclusion Laws (42 U.S.C. § 1320a-7), or the regulations promulgated pursuant to such Laws, and comparable state Laws, all Laws or precedent relating to the corporate practice of a learned or licensed healthcare profession; all Laws concerning the splitting or sharing of healthcare professional fees; all Laws regarding health record documentation or related record retention requirements, prior authorizations and pre-certifications, or medical necessity; all Laws regarding healthcare professional or entity licensure, qualifications, accreditations, or scope of practice requirements, including the practice of telehealth and healthcare professional supervision.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(ar)</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Professional</w:t>
            </w:r>
            <w:r>
              <w:rPr>
                <w:rFonts w:ascii="Times New Roman" w:cs="Times New Roman" w:eastAsia="Times New Roman" w:hAnsi="Times New Roman"/>
                <w:sz w:val="20"/>
                <w:szCs w:val="20"/>
                <w:color w:val="auto"/>
              </w:rPr>
              <w:t>” has the meaning set forth in Section 3.6(b).</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72"/>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(as)</w:t>
            </w:r>
          </w:p>
        </w:tc>
        <w:tc>
          <w:tcPr>
            <w:tcW w:w="944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HHS</w:t>
            </w:r>
            <w:r>
              <w:rPr>
                <w:rFonts w:ascii="Times New Roman" w:cs="Times New Roman" w:eastAsia="Times New Roman" w:hAnsi="Times New Roman"/>
                <w:sz w:val="20"/>
                <w:szCs w:val="20"/>
                <w:color w:val="auto"/>
              </w:rPr>
              <w:t>” means the U.S. Department of Health and Human Services.</w:t>
            </w:r>
          </w:p>
        </w:tc>
      </w:tr>
      <w:tr>
        <w:trPr>
          <w:trHeight w:val="4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(at)</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HIPAA</w:t>
            </w:r>
            <w:r>
              <w:rPr>
                <w:rFonts w:ascii="Times New Roman" w:cs="Times New Roman" w:eastAsia="Times New Roman" w:hAnsi="Times New Roman"/>
                <w:sz w:val="20"/>
                <w:szCs w:val="20"/>
                <w:color w:val="auto"/>
              </w:rPr>
              <w:t>” means the Health Insurance Portability and Accountability Act of 1996 as amended by HITECH Act,</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altogether with their implementing regulations at 45 C.F.R. Parts 160, 162 and 164.</w:t>
            </w:r>
          </w:p>
        </w:tc>
      </w:tr>
      <w:tr>
        <w:trPr>
          <w:trHeight w:val="45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(au)</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HITECH Act</w:t>
            </w:r>
            <w:r>
              <w:rPr>
                <w:rFonts w:ascii="Times New Roman" w:cs="Times New Roman" w:eastAsia="Times New Roman" w:hAnsi="Times New Roman"/>
                <w:sz w:val="20"/>
                <w:szCs w:val="20"/>
                <w:color w:val="auto"/>
              </w:rPr>
              <w:t>” means the Health Information Technology for Economic and Clinical Health Act of 2009.</w:t>
            </w:r>
          </w:p>
        </w:tc>
      </w:tr>
      <w:tr>
        <w:trPr>
          <w:trHeight w:val="4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(av)</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ICT Infrastructure</w:t>
            </w:r>
            <w:r>
              <w:rPr>
                <w:rFonts w:ascii="Times New Roman" w:cs="Times New Roman" w:eastAsia="Times New Roman" w:hAnsi="Times New Roman"/>
                <w:sz w:val="20"/>
                <w:szCs w:val="20"/>
                <w:color w:val="auto"/>
              </w:rPr>
              <w:t>” means the information and communications technology infrastructure and systems (including</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software, hardware, firmware, networks, and the Company websites) that is used in the Businesses.</w:t>
            </w:r>
          </w:p>
        </w:tc>
      </w:tr>
      <w:tr>
        <w:trPr>
          <w:trHeight w:val="413"/>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(aw)</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has the meaning set forth in Section 6.2.</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25"/>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(ax)</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Indemnifying Party</w:t>
            </w:r>
            <w:r>
              <w:rPr>
                <w:rFonts w:ascii="Times New Roman" w:cs="Times New Roman" w:eastAsia="Times New Roman" w:hAnsi="Times New Roman"/>
                <w:sz w:val="20"/>
                <w:szCs w:val="20"/>
                <w:color w:val="auto"/>
              </w:rPr>
              <w:t>” has the meaning set forth in Section 6.3.</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3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(ay)</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Policies</w:t>
            </w:r>
            <w:r>
              <w:rPr>
                <w:rFonts w:ascii="Times New Roman" w:cs="Times New Roman" w:eastAsia="Times New Roman" w:hAnsi="Times New Roman"/>
                <w:sz w:val="20"/>
                <w:szCs w:val="20"/>
                <w:color w:val="auto"/>
              </w:rPr>
              <w:t>” has the meaning set forth in Section 3.16(b).</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gridSpan w:val="5"/>
            <w:shd w:val="clear" w:color="auto" w:fill="000000"/>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7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(az)</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means all intellectual property and similar proprietary rights and related priority rights</w:t>
            </w:r>
          </w:p>
        </w:tc>
      </w:tr>
    </w:tbl>
    <w:p>
      <w:pPr>
        <w:spacing w:after="0"/>
        <w:rPr>
          <w:sz w:val="20"/>
          <w:szCs w:val="20"/>
          <w:color w:val="auto"/>
        </w:rPr>
      </w:pPr>
      <w:r>
        <w:rPr>
          <w:rFonts w:ascii="Times New Roman" w:cs="Times New Roman" w:eastAsia="Times New Roman" w:hAnsi="Times New Roman"/>
          <w:sz w:val="20"/>
          <w:szCs w:val="20"/>
          <w:color w:val="auto"/>
        </w:rPr>
        <w:t>protected, created or arising in any jurisdiction throughout the world,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2" w:lineRule="auto"/>
        <w:rPr>
          <w:sz w:val="20"/>
          <w:szCs w:val="20"/>
          <w:color w:val="auto"/>
        </w:rPr>
      </w:pPr>
      <w:r>
        <w:rPr>
          <w:rFonts w:ascii="Times New Roman" w:cs="Times New Roman" w:eastAsia="Times New Roman" w:hAnsi="Times New Roman"/>
          <w:sz w:val="20"/>
          <w:szCs w:val="20"/>
          <w:color w:val="auto"/>
        </w:rPr>
        <w:t>including all rights in, arising out of, or associated therewith any of the following: (i) trademarks, service marks, trade names, logos, and similar indicia of source of origin, all registrations and applications for registration thereof, and the goodwill connected with the use of and symbolized by the foregoing; (ii) works of authorship, copyrights and all registrations and applications for registration thereof; (iii) trade secrets, confidential and proprietary information and know-how; (iv) inventions, discoveries, patents, utility models and all registrations and applications for registration thereof (including provisional applications); (v) internet domain name registrations; and (vi) moral and economic rights of authors and investors, however denominated and where available as a matter of law, together with all rights to sue or make any claims for any past, present, or future infringement, misappropriation or unauthorized use of any of the foregoing rights, and the right to all income, royalties, damages and other payments that are now or may hereafter become due or payable with respect to any of the foregoing rights, including damages for past, present or future infringement, misappropriation or unauthorized use thereof.</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(ba)</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Interim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Internal Revenue Service.</w:t>
      </w:r>
    </w:p>
    <w:p>
      <w:pPr>
        <w:spacing w:after="0" w:line="22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0"/>
          <w:szCs w:val="20"/>
          <w:color w:val="auto"/>
        </w:rPr>
        <w:t xml:space="preserve">(bc)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Key Employee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any executive-level employee (including division director and vice president-level positions) as well as any employee or consultant who either alone or in concert with others develops, invents, programs or designs any Company IP.</w:t>
      </w:r>
    </w:p>
    <w:p>
      <w:pPr>
        <w:spacing w:after="0" w:line="39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(bd) “</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of the Company (and any similar expression, including the expression “</w:t>
      </w:r>
      <w:r>
        <w:rPr>
          <w:rFonts w:ascii="Times New Roman" w:cs="Times New Roman" w:eastAsia="Times New Roman" w:hAnsi="Times New Roman"/>
          <w:sz w:val="20"/>
          <w:szCs w:val="20"/>
          <w:b w:val="1"/>
          <w:bCs w:val="1"/>
          <w:i w:val="1"/>
          <w:iCs w:val="1"/>
          <w:color w:val="auto"/>
        </w:rPr>
        <w:t>the Company’s Knowledge</w:t>
      </w:r>
      <w:r>
        <w:rPr>
          <w:rFonts w:ascii="Times New Roman" w:cs="Times New Roman" w:eastAsia="Times New Roman" w:hAnsi="Times New Roman"/>
          <w:sz w:val="20"/>
          <w:szCs w:val="20"/>
          <w:color w:val="auto"/>
        </w:rPr>
        <w:t>”) means, as to a particular matter, the actual knowledge after reasonable investigation and assuming such knowledge as the individual would have as a result of the reasonable performance of his or her duties in the ordinary course of the Chief Executive Officer, President, Chief Financial Officer, and any other person who reports directly to the Board of Directors or the Chief Executive Officer.</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(be) “</w:t>
      </w:r>
      <w:r>
        <w:rPr>
          <w:rFonts w:ascii="Times New Roman" w:cs="Times New Roman" w:eastAsia="Times New Roman" w:hAnsi="Times New Roman"/>
          <w:sz w:val="20"/>
          <w:szCs w:val="20"/>
          <w:b w:val="1"/>
          <w:bCs w:val="1"/>
          <w:i w:val="1"/>
          <w:iCs w:val="1"/>
          <w:color w:val="auto"/>
        </w:rPr>
        <w:t>Law</w:t>
      </w:r>
      <w:r>
        <w:rPr>
          <w:rFonts w:ascii="Times New Roman" w:cs="Times New Roman" w:eastAsia="Times New Roman" w:hAnsi="Times New Roman"/>
          <w:sz w:val="20"/>
          <w:szCs w:val="20"/>
          <w:color w:val="auto"/>
        </w:rPr>
        <w:t>” means, with respect to any Person, all statutes, ordinances, by-laws, codes, rules, regulations, restrictions, orders, judgments, writs, injunctions, decrees, determinations or awards of any Governmental Authority having jurisdiction over such Person or any of such Person’s assets or businesses, including, but not limited to Healthcare Laws.</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(bf)</w:t>
            </w:r>
          </w:p>
        </w:tc>
        <w:tc>
          <w:tcPr>
            <w:tcW w:w="94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Leased Real Property</w:t>
            </w:r>
            <w:r>
              <w:rPr>
                <w:rFonts w:ascii="Times New Roman" w:cs="Times New Roman" w:eastAsia="Times New Roman" w:hAnsi="Times New Roman"/>
                <w:sz w:val="20"/>
                <w:szCs w:val="20"/>
                <w:color w:val="auto"/>
              </w:rPr>
              <w:t>” has the meaning set forth in Section 3.13(b).</w:t>
            </w: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(bg)</w:t>
            </w: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has the meaning set forth in Section 6.1.</w:t>
            </w:r>
          </w:p>
        </w:tc>
        <w:tc>
          <w:tcPr>
            <w:tcW w:w="12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(bh)</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Material Adverse Change</w:t>
            </w:r>
            <w:r>
              <w:rPr>
                <w:rFonts w:ascii="Times New Roman" w:cs="Times New Roman" w:eastAsia="Times New Roman" w:hAnsi="Times New Roman"/>
                <w:sz w:val="20"/>
                <w:szCs w:val="20"/>
                <w:color w:val="auto"/>
                <w:w w:val="99"/>
              </w:rPr>
              <w:t>” means any fact, circumstance, condition, change, event or occurrence that is discovered</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and disclosed that has a material adverse effect on the financial condition, business, prospects or results of operations of the Businesses, or the ability of the Company to consummate the transactions contemplated hereby.</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(bi)</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Contracts</w:t>
            </w:r>
            <w:r>
              <w:rPr>
                <w:rFonts w:ascii="Times New Roman" w:cs="Times New Roman" w:eastAsia="Times New Roman" w:hAnsi="Times New Roman"/>
                <w:sz w:val="20"/>
                <w:szCs w:val="20"/>
                <w:color w:val="auto"/>
              </w:rPr>
              <w:t>” has the meaning set forth in Section 3.12(a).</w:t>
            </w: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(bj)</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has the meaning set forth in Section 3.26.</w:t>
            </w: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(bk)</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Permits</w:t>
            </w:r>
            <w:r>
              <w:rPr>
                <w:rFonts w:ascii="Times New Roman" w:cs="Times New Roman" w:eastAsia="Times New Roman" w:hAnsi="Times New Roman"/>
                <w:sz w:val="20"/>
                <w:szCs w:val="20"/>
                <w:color w:val="auto"/>
              </w:rPr>
              <w:t>” means each license, permit, right, franchise, concession, certificate, authorization, consent, certificate of</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need or other approval of a Governmental Authority owned or held by the Company or relating to the ownership or operations of the Businesses, including applications for, and pending, Permits.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(bl) “</w:t>
      </w:r>
      <w:r>
        <w:rPr>
          <w:rFonts w:ascii="Times New Roman" w:cs="Times New Roman" w:eastAsia="Times New Roman" w:hAnsi="Times New Roman"/>
          <w:sz w:val="20"/>
          <w:szCs w:val="20"/>
          <w:b w:val="1"/>
          <w:bCs w:val="1"/>
          <w:i w:val="1"/>
          <w:iCs w:val="1"/>
          <w:color w:val="auto"/>
        </w:rPr>
        <w:t>Permitted Encumbrances</w:t>
      </w:r>
      <w:r>
        <w:rPr>
          <w:rFonts w:ascii="Times New Roman" w:cs="Times New Roman" w:eastAsia="Times New Roman" w:hAnsi="Times New Roman"/>
          <w:sz w:val="20"/>
          <w:szCs w:val="20"/>
          <w:color w:val="auto"/>
        </w:rPr>
        <w:t>” means (i) those that do not, individually or in the aggregate, materially impair the usefulness or value of the Company Entities, (ii) those for taxes, assessments and governmental charges or levies not yet due or payable or that are being contested in good faith and for which adequate reserves have been established, (iii) restrictions, covenants and easements of record that do not materially interfere with the use of the Leased Real Property for the business being conducted thereon, (iv) mechanic’s, materialman’s and similar statutory liens for sums not yet due and payable or that are being contested in good faith, (v) those related to the Material Contracts, (vi) leases that have been disclosed to the Buyer, (vii) zoning regulations and other Laws affecting the Leased Real Property, (viii) matters arising as a result of the acts or omissions of the Buyer or any of its Affiliates, agents, employees, contractors or representatives, (ix) standard printed exceptions customarily set forth in title reports, title commitments or title policies and, (x) with respect to the Owned Real Property, (A) any easements, rights of way, and use, occupancy and similar restrictions and other similar encumbrances that would be shown by a current title report, title commitment or title policy; and (B) any condition that is shown by a current survey or physical inspection which is not individually or in the aggregate material to the present use of the Owned Real Property, and (xi) all matters of record.</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(bm)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 individual, corporation, partnership, limited liability company, limited liability partnership, syndicate, trust, association, organization or other entity, including any Governmental Authority, and including any successor, by merger or otherwise, of any of the foregoing.</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(bn) “</w:t>
      </w:r>
      <w:r>
        <w:rPr>
          <w:rFonts w:ascii="Times New Roman" w:cs="Times New Roman" w:eastAsia="Times New Roman" w:hAnsi="Times New Roman"/>
          <w:sz w:val="20"/>
          <w:szCs w:val="20"/>
          <w:b w:val="1"/>
          <w:bCs w:val="1"/>
          <w:i w:val="1"/>
          <w:iCs w:val="1"/>
          <w:color w:val="auto"/>
        </w:rPr>
        <w:t>Personal Information</w:t>
      </w:r>
      <w:r>
        <w:rPr>
          <w:rFonts w:ascii="Times New Roman" w:cs="Times New Roman" w:eastAsia="Times New Roman" w:hAnsi="Times New Roman"/>
          <w:sz w:val="20"/>
          <w:szCs w:val="20"/>
          <w:color w:val="auto"/>
        </w:rPr>
        <w:t>” means Protected Health Information, Social Security Numbers, financial account numbers, driver’s license numbers or state identification numbers, or other “personal information” or similar terms such as “personally identifiable information,” as defined by applicable Laws.</w:t>
      </w:r>
    </w:p>
    <w:p>
      <w:pPr>
        <w:spacing w:after="0" w:line="16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(bo)</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Personnel Agreements</w:t>
            </w:r>
            <w:r>
              <w:rPr>
                <w:rFonts w:ascii="Times New Roman" w:cs="Times New Roman" w:eastAsia="Times New Roman" w:hAnsi="Times New Roman"/>
                <w:sz w:val="20"/>
                <w:szCs w:val="20"/>
                <w:color w:val="auto"/>
              </w:rPr>
              <w:t>” has the meaning set forth in Section 3.21(b).</w:t>
            </w:r>
          </w:p>
        </w:tc>
      </w:tr>
      <w:tr>
        <w:trPr>
          <w:trHeight w:val="20"/>
        </w:trPr>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(bp)</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means the Series A Preferred Stock of the Company, par value $0.0001 per share.</w:t>
            </w:r>
          </w:p>
        </w:tc>
      </w:tr>
      <w:tr>
        <w:trPr>
          <w:trHeight w:val="413"/>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(bq)</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PREP Act</w:t>
            </w:r>
            <w:r>
              <w:rPr>
                <w:rFonts w:ascii="Times New Roman" w:cs="Times New Roman" w:eastAsia="Times New Roman" w:hAnsi="Times New Roman"/>
                <w:sz w:val="20"/>
                <w:szCs w:val="20"/>
                <w:color w:val="auto"/>
              </w:rPr>
              <w:t>” has the meaning set forth in Section 3.10(e).</w:t>
            </w:r>
          </w:p>
        </w:tc>
      </w:tr>
      <w:tr>
        <w:trPr>
          <w:trHeight w:val="20"/>
        </w:trPr>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(br)</w:t>
            </w:r>
          </w:p>
        </w:tc>
        <w:tc>
          <w:tcPr>
            <w:tcW w:w="94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Privacy Laws</w:t>
            </w:r>
            <w:r>
              <w:rPr>
                <w:rFonts w:ascii="Times New Roman" w:cs="Times New Roman" w:eastAsia="Times New Roman" w:hAnsi="Times New Roman"/>
                <w:sz w:val="20"/>
                <w:szCs w:val="20"/>
                <w:color w:val="auto"/>
              </w:rPr>
              <w:t>” means all Laws, to the extent not preempted by HIPAA, that govern the privacy, security, or</w:t>
            </w:r>
          </w:p>
        </w:tc>
      </w:tr>
    </w:tbl>
    <w:p>
      <w:pPr>
        <w:jc w:val="both"/>
        <w:spacing w:after="0" w:line="250" w:lineRule="auto"/>
        <w:rPr>
          <w:sz w:val="20"/>
          <w:szCs w:val="20"/>
          <w:color w:val="auto"/>
        </w:rPr>
      </w:pPr>
      <w:r>
        <w:rPr>
          <w:rFonts w:ascii="Times New Roman" w:cs="Times New Roman" w:eastAsia="Times New Roman" w:hAnsi="Times New Roman"/>
          <w:sz w:val="20"/>
          <w:szCs w:val="20"/>
          <w:color w:val="auto"/>
        </w:rPr>
        <w:t>confidentiality of Personal Information, medical records, or other records generated in the course of providing or paying for health care services. Without limiting the generality of the foregoing, “Privacy Laws” also includes the Fair Credit Reporting Act, 15 U.S.C. § 1681 et. seq., as amended, the Fair Debt Collection Practices Act, 15 U.S.C. § 1692 et seq., as amended, the Telephone Consumer Protection Act, 47 U.S.C. § 227, as amended, the Telemarketing and Consumer Fraud and Abuse Prevention Act, 15 U.S.C. §§ 6101-6108, as amended, all state law equivalents of and implementing regulations or rulemaking concerning such Laws and all state Personal Information breach notification laws.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26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(bs)</w:t>
            </w:r>
          </w:p>
        </w:tc>
        <w:tc>
          <w:tcPr>
            <w:tcW w:w="6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Protected Health Information</w:t>
            </w:r>
            <w:r>
              <w:rPr>
                <w:rFonts w:ascii="Times New Roman" w:cs="Times New Roman" w:eastAsia="Times New Roman" w:hAnsi="Times New Roman"/>
                <w:sz w:val="20"/>
                <w:szCs w:val="20"/>
                <w:color w:val="auto"/>
                <w:w w:val="98"/>
              </w:rPr>
              <w:t>” has the meaning set forth at 45 C.F.R. § 160.103.</w:t>
            </w:r>
          </w:p>
        </w:tc>
      </w:tr>
      <w:tr>
        <w:trPr>
          <w:trHeight w:val="39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(bt)</w:t>
            </w:r>
          </w:p>
        </w:tc>
        <w:tc>
          <w:tcPr>
            <w:tcW w:w="6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Real Property Leases</w:t>
            </w:r>
            <w:r>
              <w:rPr>
                <w:rFonts w:ascii="Times New Roman" w:cs="Times New Roman" w:eastAsia="Times New Roman" w:hAnsi="Times New Roman"/>
                <w:sz w:val="20"/>
                <w:szCs w:val="20"/>
                <w:color w:val="auto"/>
              </w:rPr>
              <w:t>” has the meaning set forth in Section 3.13(b).</w:t>
            </w:r>
          </w:p>
        </w:tc>
      </w:tr>
      <w:tr>
        <w:trPr>
          <w:trHeight w:val="20"/>
        </w:trPr>
        <w:tc>
          <w:tcPr>
            <w:tcW w:w="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7"/>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Rights Agreement Amendment</w:t>
            </w:r>
            <w:r>
              <w:rPr>
                <w:rFonts w:ascii="Times New Roman" w:cs="Times New Roman" w:eastAsia="Times New Roman" w:hAnsi="Times New Roman"/>
                <w:sz w:val="20"/>
                <w:szCs w:val="20"/>
                <w:color w:val="auto"/>
              </w:rPr>
              <w:t>” means that certain Amendment No. 1 to Amended and Restated</w:t>
            </w:r>
          </w:p>
        </w:tc>
      </w:tr>
      <w:tr>
        <w:trPr>
          <w:trHeight w:val="212"/>
        </w:trPr>
        <w:tc>
          <w:tcPr>
            <w:tcW w:w="1124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Registration Rights Agreement, by and between the Company and the Buyer, in substantially the form attached hereto as Exhibit A.</w:t>
            </w:r>
          </w:p>
        </w:tc>
      </w:tr>
      <w:tr>
        <w:trPr>
          <w:trHeight w:val="20"/>
        </w:trPr>
        <w:tc>
          <w:tcPr>
            <w:tcW w:w="1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72"/>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(bv)</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Rights Agreement Joinder</w:t>
            </w:r>
            <w:r>
              <w:rPr>
                <w:rFonts w:ascii="Times New Roman" w:cs="Times New Roman" w:eastAsia="Times New Roman" w:hAnsi="Times New Roman"/>
                <w:sz w:val="20"/>
                <w:szCs w:val="20"/>
                <w:color w:val="auto"/>
              </w:rPr>
              <w:t>” means that certain Joinder to that certain Amended and Restated</w:t>
            </w:r>
          </w:p>
        </w:tc>
      </w:tr>
    </w:tbl>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Registration Rights Agreement, dated as of September 20, 2023, by and among the Company, the Buyer, and the other parties thereto,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(bw)</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Representatives</w:t>
            </w:r>
            <w:r>
              <w:rPr>
                <w:rFonts w:ascii="Times New Roman" w:cs="Times New Roman" w:eastAsia="Times New Roman" w:hAnsi="Times New Roman"/>
                <w:sz w:val="20"/>
                <w:szCs w:val="20"/>
                <w:color w:val="auto"/>
                <w:w w:val="99"/>
              </w:rPr>
              <w:t>” means, with respect to any Person, the officers, directors, principals, employees, agents, auditors,</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accountants, attorneys, consultants, advisors, bankers and other representatives of such Person.</w:t>
            </w:r>
          </w:p>
        </w:tc>
      </w:tr>
      <w:tr>
        <w:trPr>
          <w:trHeight w:val="399"/>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(bx)</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39"/>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80" w:type="dxa"/>
            <w:vAlign w:val="bottom"/>
            <w:tcBorders>
              <w:left w:val="single" w:sz="8" w:color="auto"/>
            </w:tcBorders>
            <w:gridSpan w:val="2"/>
          </w:tcPr>
          <w:p>
            <w:pPr>
              <w:spacing w:after="0" w:line="20" w:lineRule="exact"/>
              <w:rPr>
                <w:sz w:val="1"/>
                <w:szCs w:val="1"/>
                <w:color w:val="auto"/>
              </w:rPr>
            </w:pPr>
          </w:p>
        </w:tc>
      </w:tr>
      <w:tr>
        <w:trPr>
          <w:trHeight w:val="426"/>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(bz)</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SDN List</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485"/>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(ca)</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tc>
      </w:tr>
      <w:tr>
        <w:trPr>
          <w:trHeight w:val="413"/>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(cb)</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has the meaning set forth in Section 2.1.</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1304"/>
        <w:spacing w:after="0" w:line="287" w:lineRule="auto"/>
        <w:tabs>
          <w:tab w:leader="none" w:pos="19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Side Letter</w:t>
      </w:r>
      <w:r>
        <w:rPr>
          <w:rFonts w:ascii="Times New Roman" w:cs="Times New Roman" w:eastAsia="Times New Roman" w:hAnsi="Times New Roman"/>
          <w:sz w:val="20"/>
          <w:szCs w:val="20"/>
          <w:color w:val="auto"/>
        </w:rPr>
        <w:t xml:space="preserve">” means the Amended and Restated Side Letter Agreement, by and between the Company and the Buyer, in substantially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(cd)</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State Department</w:t>
            </w:r>
            <w:r>
              <w:rPr>
                <w:rFonts w:ascii="Times New Roman" w:cs="Times New Roman" w:eastAsia="Times New Roman" w:hAnsi="Times New Roman"/>
                <w:sz w:val="20"/>
                <w:szCs w:val="20"/>
                <w:color w:val="auto"/>
              </w:rPr>
              <w:t>” has the meaning set forth in Section 3.26.</w:t>
            </w:r>
          </w:p>
        </w:tc>
      </w:tr>
      <w:tr>
        <w:trPr>
          <w:trHeight w:val="20"/>
        </w:trPr>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(ce)</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Plan</w:t>
            </w:r>
            <w:r>
              <w:rPr>
                <w:rFonts w:ascii="Times New Roman" w:cs="Times New Roman" w:eastAsia="Times New Roman" w:hAnsi="Times New Roman"/>
                <w:sz w:val="20"/>
                <w:szCs w:val="20"/>
                <w:color w:val="auto"/>
              </w:rPr>
              <w:t>” has the meaning set forth in Section 3.4(c).</w:t>
            </w:r>
          </w:p>
        </w:tc>
      </w:tr>
      <w:tr>
        <w:trPr>
          <w:trHeight w:val="20"/>
        </w:trPr>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(cf)</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any Person, any business entity of which (i) if the business entity is a</w:t>
            </w:r>
          </w:p>
        </w:tc>
      </w:tr>
    </w:tbl>
    <w:p>
      <w:pPr>
        <w:jc w:val="both"/>
        <w:spacing w:after="0" w:line="248" w:lineRule="auto"/>
        <w:rPr>
          <w:sz w:val="20"/>
          <w:szCs w:val="20"/>
          <w:color w:val="auto"/>
        </w:rPr>
      </w:pPr>
      <w:r>
        <w:rPr>
          <w:rFonts w:ascii="Times New Roman" w:cs="Times New Roman" w:eastAsia="Times New Roman" w:hAnsi="Times New Roman"/>
          <w:sz w:val="20"/>
          <w:szCs w:val="20"/>
          <w:color w:val="auto"/>
        </w:rPr>
        <w:t>corporation, a majority of the total voting power of shares of capital stock or other equity securities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the business entity is a limited liability company, partnership, association or other business entity, a majority of the partnership or other similar ownership interest thereof or the power to elect or appoint a majority of the managers or other governing body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9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(cg) “</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(and, with correlative meaning,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means: (i) all federal, state, local, non-U.S. and other taxes, charges and assessments, including income, earnings, profits, gross receipts, franchise, capital stock, net worth, sales, use, value added, occupancy, general property, real property, personal property, intangible property, escheat, unclaimed property, transfer, fuel, excise, parking, payroll, withholding, unemployment compensation, workers’ compensation, social security,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20"/>
          <w:szCs w:val="20"/>
          <w:color w:val="auto"/>
        </w:rPr>
        <w:t>retirement, pension plan or other tax of any nature; and (ii) any deficiencies, or other additions to tax, interest, fines or penalties imposed with respect to any of the foregoing, whether disputed or not, and including any obligations to indemnify or otherwise assume, succeed to, or be liable for the liability for Taxes of any other Person by Contract, Law or otherwise.</w:t>
      </w:r>
    </w:p>
    <w:p>
      <w:pPr>
        <w:spacing w:after="0" w:line="17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(ch) “</w:t>
      </w:r>
      <w:r>
        <w:rPr>
          <w:rFonts w:ascii="Times New Roman" w:cs="Times New Roman" w:eastAsia="Times New Roman" w:hAnsi="Times New Roman"/>
          <w:sz w:val="20"/>
          <w:szCs w:val="20"/>
          <w:b w:val="1"/>
          <w:bCs w:val="1"/>
          <w:i w:val="1"/>
          <w:iCs w:val="1"/>
          <w:color w:val="auto"/>
        </w:rPr>
        <w:t>Tax Returns</w:t>
      </w:r>
      <w:r>
        <w:rPr>
          <w:rFonts w:ascii="Times New Roman" w:cs="Times New Roman" w:eastAsia="Times New Roman" w:hAnsi="Times New Roman"/>
          <w:sz w:val="20"/>
          <w:szCs w:val="20"/>
          <w:color w:val="auto"/>
        </w:rPr>
        <w:t>” means all returns and reports, amended returns, information returns, statements, declarations, estimates, schedules, notices, notifications, forms, elections, certificates or other documents with respect to the determination, assessment, collection or payment of any Tax or in connection with the administration, implementation or enforcement of, or compliance with, any Tax.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(ci)</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Taxing Authority</w:t>
            </w:r>
            <w:r>
              <w:rPr>
                <w:rFonts w:ascii="Times New Roman" w:cs="Times New Roman" w:eastAsia="Times New Roman" w:hAnsi="Times New Roman"/>
                <w:sz w:val="20"/>
                <w:szCs w:val="20"/>
                <w:color w:val="auto"/>
                <w:w w:val="98"/>
              </w:rPr>
              <w:t>” means the IRS or any governmental agency, board, bureau, body, department or authority having</w:t>
            </w:r>
          </w:p>
        </w:tc>
      </w:tr>
      <w:tr>
        <w:trPr>
          <w:trHeight w:val="258"/>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or purporting to exercise jurisdiction with respect to any Tax.</w:t>
            </w:r>
          </w:p>
        </w:tc>
      </w:tr>
      <w:tr>
        <w:trPr>
          <w:trHeight w:val="413"/>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(cj)</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Party Claim</w:t>
            </w:r>
            <w:r>
              <w:rPr>
                <w:rFonts w:ascii="Times New Roman" w:cs="Times New Roman" w:eastAsia="Times New Roman" w:hAnsi="Times New Roman"/>
                <w:sz w:val="20"/>
                <w:szCs w:val="20"/>
                <w:color w:val="auto"/>
              </w:rPr>
              <w:t>” has the meaning set forth in Section 6.3.</w:t>
            </w:r>
          </w:p>
        </w:tc>
      </w:tr>
      <w:tr>
        <w:trPr>
          <w:trHeight w:val="20"/>
        </w:trPr>
        <w:tc>
          <w:tcPr>
            <w:tcW w:w="1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72"/>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(ck)</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Party Payor</w:t>
            </w:r>
            <w:r>
              <w:rPr>
                <w:rFonts w:ascii="Times New Roman" w:cs="Times New Roman" w:eastAsia="Times New Roman" w:hAnsi="Times New Roman"/>
                <w:sz w:val="20"/>
                <w:szCs w:val="20"/>
                <w:color w:val="auto"/>
              </w:rPr>
              <w:t>” means Government Reimbursement Programs and any other publicly or privately owned</w:t>
            </w:r>
          </w:p>
        </w:tc>
      </w:tr>
    </w:tbl>
    <w:p>
      <w:pPr>
        <w:jc w:val="both"/>
        <w:spacing w:after="0" w:line="253" w:lineRule="auto"/>
        <w:rPr>
          <w:sz w:val="20"/>
          <w:szCs w:val="20"/>
          <w:color w:val="auto"/>
        </w:rPr>
      </w:pPr>
      <w:r>
        <w:rPr>
          <w:rFonts w:ascii="Times New Roman" w:cs="Times New Roman" w:eastAsia="Times New Roman" w:hAnsi="Times New Roman"/>
          <w:sz w:val="20"/>
          <w:szCs w:val="20"/>
          <w:color w:val="auto"/>
        </w:rPr>
        <w:t>organization or entity authorized to provide health insurance or reimburse for the provision of health care services (including, without limitation, property, casualty, or life insurance covering health benefits), any health maintenance organization, independent practice association, managed care network, accountable care organization or any employer authorized under Law to self-insure its workers’ compensation risk and that pays for or reimburses at least some of the health care expenses of its beneficiaries or workers.</w:t>
      </w:r>
    </w:p>
    <w:p>
      <w:pPr>
        <w:spacing w:after="0" w:line="17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(cl) “</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collectively, this Agreement and all ancillary agreements contemplated herein or otherwise necessary to effect the transactions contemplated hereby, including, without limitation, the Registrations Rights Agreement Amendment and the Side Letter.</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(cm)</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Taxes</w:t>
            </w:r>
            <w:r>
              <w:rPr>
                <w:rFonts w:ascii="Times New Roman" w:cs="Times New Roman" w:eastAsia="Times New Roman" w:hAnsi="Times New Roman"/>
                <w:sz w:val="20"/>
                <w:szCs w:val="20"/>
                <w:color w:val="auto"/>
              </w:rPr>
              <w:t>” has the meaning set forth in Section 4.7.</w:t>
            </w:r>
          </w:p>
        </w:tc>
      </w:tr>
      <w:tr>
        <w:trPr>
          <w:trHeight w:val="413"/>
        </w:trPr>
        <w:tc>
          <w:tcPr>
            <w:tcW w:w="6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(cn)</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has the meaning set forth in Section 3.26.</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72"/>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Article II</w:t>
            </w:r>
          </w:p>
        </w:tc>
        <w:tc>
          <w:tcPr>
            <w:tcW w:w="69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 TRANSACTIONS AT THE CLOSING</w:t>
            </w:r>
          </w:p>
        </w:tc>
      </w:tr>
      <w:tr>
        <w:trPr>
          <w:trHeight w:val="413"/>
        </w:trPr>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II.1</w:t>
            </w:r>
          </w:p>
        </w:tc>
        <w:tc>
          <w:tcPr>
            <w:tcW w:w="99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 xml:space="preserve">Purchase and Sale. </w:t>
            </w:r>
            <w:r>
              <w:rPr>
                <w:rFonts w:ascii="Times New Roman" w:cs="Times New Roman" w:eastAsia="Times New Roman" w:hAnsi="Times New Roman"/>
                <w:sz w:val="20"/>
                <w:szCs w:val="20"/>
                <w:color w:val="auto"/>
              </w:rPr>
              <w:t>Subject to the terms and conditions of this Agreement, the Buyer agrees to purchase, and the Company</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agrees to sell and issue to the Buyer, at the Closing (as defined below) 8,500,000 shares of Class A Common Stock at a purchase price of $6.00 per share, for an aggregate purchase price of $51,000,000. The shares of Class A Common Stock issued to the Buyer pursuant to this Agreement shall be referred to in this Agreement as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II.2 </w:t>
      </w: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The purchase and sale of the Shares shall take place remotely via the exchange of documents and signatures,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at such time as is mutually agreed upon, orally or in writing, by the Company and the Buyer (which time and place are designated as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At the Closing, the Company shall deliver to the Buyer evidence representing the Shares being purchased by the Buyer at the Closing against payment of the purchase price therefor by wire transfer to a bank account designated by the Company.</w:t>
      </w:r>
    </w:p>
    <w:p>
      <w:pPr>
        <w:spacing w:after="0" w:line="178" w:lineRule="exact"/>
        <w:rPr>
          <w:sz w:val="20"/>
          <w:szCs w:val="20"/>
          <w:color w:val="auto"/>
        </w:rPr>
      </w:pPr>
    </w:p>
    <w:p>
      <w:pPr>
        <w:ind w:left="2980"/>
        <w:spacing w:after="0"/>
        <w:tabs>
          <w:tab w:leader="none" w:pos="4260" w:val="left"/>
        </w:tabs>
        <w:rPr>
          <w:sz w:val="20"/>
          <w:szCs w:val="20"/>
          <w:color w:val="auto"/>
        </w:rPr>
      </w:pPr>
      <w:r>
        <w:rPr>
          <w:rFonts w:ascii="Times New Roman" w:cs="Times New Roman" w:eastAsia="Times New Roman" w:hAnsi="Times New Roman"/>
          <w:sz w:val="20"/>
          <w:szCs w:val="20"/>
          <w:b w:val="1"/>
          <w:bCs w:val="1"/>
          <w:color w:val="auto"/>
        </w:rPr>
        <w:t>Article III</w:t>
      </w:r>
      <w:r>
        <w:rPr>
          <w:sz w:val="20"/>
          <w:szCs w:val="20"/>
          <w:color w:val="auto"/>
        </w:rPr>
        <w:tab/>
      </w:r>
      <w:r>
        <w:rPr>
          <w:rFonts w:ascii="Times New Roman" w:cs="Times New Roman" w:eastAsia="Times New Roman" w:hAnsi="Times New Roman"/>
          <w:sz w:val="19"/>
          <w:szCs w:val="19"/>
          <w:b w:val="1"/>
          <w:bCs w:val="1"/>
          <w:color w:val="auto"/>
        </w:rPr>
        <w:t>– REPRESENTATIONS AND WARRANTIES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COMPANY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0" w:name="page81"/>
    <w:bookmarkEnd w:id="80"/>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As of the Effective Date, when read in light of the Disclosure Schedule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Company represents and warrants to the Buyer with respect to the Company Entities and the Businesses the following:</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w:t>
      </w:r>
      <w:r>
        <w:rPr>
          <w:sz w:val="20"/>
          <w:szCs w:val="20"/>
          <w:color w:val="auto"/>
        </w:rPr>
        <w:tab/>
      </w:r>
      <w:r>
        <w:rPr>
          <w:rFonts w:ascii="Times New Roman" w:cs="Times New Roman" w:eastAsia="Times New Roman" w:hAnsi="Times New Roman"/>
          <w:sz w:val="20"/>
          <w:szCs w:val="20"/>
          <w:b w:val="1"/>
          <w:bCs w:val="1"/>
          <w:u w:val="single" w:color="auto"/>
          <w:color w:val="auto"/>
        </w:rPr>
        <w:t>Capacity, Authority and Consents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8"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Company Entity is duly organized, validly existing and in good standing under the Laws of the state of its formation or incorporation, each of which is listed on </w:t>
      </w:r>
      <w:r>
        <w:rPr>
          <w:rFonts w:ascii="Times New Roman" w:cs="Times New Roman" w:eastAsia="Times New Roman" w:hAnsi="Times New Roman"/>
          <w:sz w:val="20"/>
          <w:szCs w:val="20"/>
          <w:u w:val="single" w:color="auto"/>
          <w:color w:val="auto"/>
        </w:rPr>
        <w:t>Schedule 3.1(a)</w:t>
      </w:r>
      <w:r>
        <w:rPr>
          <w:rFonts w:ascii="Times New Roman" w:cs="Times New Roman" w:eastAsia="Times New Roman" w:hAnsi="Times New Roman"/>
          <w:sz w:val="20"/>
          <w:szCs w:val="20"/>
          <w:color w:val="auto"/>
        </w:rPr>
        <w:t>. Except with respect to the Company Entities, the Company does not own, directly or indirectly, any equity or voting interest in any Person and does not have any agreement or commitment to acquire any such interest.</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requisite power and authority to enter into the transactions under this Agreement and the other Transaction Documents, to perform its obligations hereunder, and each Company Entity has the requisite power and authority to own, lease and operate its properties, and to conduct its business as now being conducted.</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Transaction Documents to which the Company is or will become a party and the actions to be taken by the Company in connection with the consummation of the transactions contemplated herein:</w:t>
      </w:r>
    </w:p>
    <w:p>
      <w:pPr>
        <w:spacing w:after="0" w:line="208" w:lineRule="exact"/>
        <w:rPr>
          <w:rFonts w:ascii="Times New Roman" w:cs="Times New Roman" w:eastAsia="Times New Roman" w:hAnsi="Times New Roman"/>
          <w:sz w:val="20"/>
          <w:szCs w:val="20"/>
          <w:color w:val="auto"/>
        </w:rPr>
      </w:pPr>
    </w:p>
    <w:p>
      <w:pPr>
        <w:ind w:left="1300" w:right="20" w:firstLine="652"/>
        <w:spacing w:after="0" w:line="245" w:lineRule="auto"/>
        <w:tabs>
          <w:tab w:leader="none" w:pos="258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are within its power, are not in contravention of applicable Law or the terms of their respective Governing Documents and have been duly authorized by all appropriate action;</w:t>
      </w:r>
    </w:p>
    <w:p>
      <w:pPr>
        <w:spacing w:after="0" w:line="22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3.1(c)(ii)</w:t>
      </w:r>
      <w:r>
        <w:rPr>
          <w:rFonts w:ascii="Times New Roman" w:cs="Times New Roman" w:eastAsia="Times New Roman" w:hAnsi="Times New Roman"/>
          <w:sz w:val="20"/>
          <w:szCs w:val="20"/>
          <w:color w:val="auto"/>
        </w:rPr>
        <w:t>, do not require any Consent of (A) any Governmental Authority or</w:t>
      </w:r>
    </w:p>
    <w:p>
      <w:pPr>
        <w:spacing w:after="0" w:line="1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 any third party;</w:t>
      </w:r>
    </w:p>
    <w:p>
      <w:pPr>
        <w:spacing w:after="0" w:line="221"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3.1(c)(iii)</w:t>
      </w:r>
      <w:r>
        <w:rPr>
          <w:rFonts w:ascii="Times New Roman" w:cs="Times New Roman" w:eastAsia="Times New Roman" w:hAnsi="Times New Roman"/>
          <w:sz w:val="20"/>
          <w:szCs w:val="20"/>
          <w:color w:val="auto"/>
        </w:rPr>
        <w:t>, will not result in any material breach or contravention of, nor permit the acceleration of the maturity of or the termination of, payment of any penalty or constitute a default under, any Contract or any material indenture or mortgage to the Company to which they are a party or otherwise bound;</w:t>
      </w:r>
    </w:p>
    <w:p>
      <w:pPr>
        <w:spacing w:after="0" w:line="22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result in the creation or imposition of any Encumbrance on any Shares;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violate any Law to which any Company Entity is subject.</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III.2 </w:t>
      </w:r>
      <w:r>
        <w:rPr>
          <w:rFonts w:ascii="Times New Roman" w:cs="Times New Roman" w:eastAsia="Times New Roman" w:hAnsi="Times New Roman"/>
          <w:sz w:val="20"/>
          <w:szCs w:val="20"/>
          <w:b w:val="1"/>
          <w:bCs w:val="1"/>
          <w:u w:val="single" w:color="auto"/>
          <w:color w:val="auto"/>
        </w:rPr>
        <w:t>Binding Agreement</w:t>
      </w:r>
      <w:r>
        <w:rPr>
          <w:rFonts w:ascii="Times New Roman" w:cs="Times New Roman" w:eastAsia="Times New Roman" w:hAnsi="Times New Roman"/>
          <w:sz w:val="20"/>
          <w:szCs w:val="20"/>
          <w:color w:val="auto"/>
        </w:rPr>
        <w:t>. This Agreement and all other Transaction Documents to which the Company is or will become a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and will constitute the valid and legally binding obligations of the Company, and is and will be enforceable against the Company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III.3</w:t>
      </w:r>
      <w:r>
        <w:rPr>
          <w:sz w:val="20"/>
          <w:szCs w:val="20"/>
          <w:color w:val="auto"/>
        </w:rPr>
        <w:tab/>
      </w:r>
      <w:r>
        <w:rPr>
          <w:rFonts w:ascii="Times New Roman" w:cs="Times New Roman" w:eastAsia="Times New Roman" w:hAnsi="Times New Roman"/>
          <w:sz w:val="20"/>
          <w:szCs w:val="20"/>
          <w:b w:val="1"/>
          <w:bCs w:val="1"/>
          <w:u w:val="single" w:color="auto"/>
          <w:color w:val="auto"/>
        </w:rPr>
        <w:t>Title to Shares</w:t>
      </w:r>
      <w:r>
        <w:rPr>
          <w:rFonts w:ascii="Times New Roman" w:cs="Times New Roman" w:eastAsia="Times New Roman" w:hAnsi="Times New Roman"/>
          <w:sz w:val="20"/>
          <w:szCs w:val="20"/>
          <w:color w:val="auto"/>
        </w:rPr>
        <w:t>. The Shares, will be, upon issuance thereof, free and clear of all Encumbrances.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1" w:name="page82"/>
    <w:bookmarkEnd w:id="81"/>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III.4</w:t>
      </w:r>
      <w:r>
        <w:rPr>
          <w:sz w:val="20"/>
          <w:szCs w:val="20"/>
          <w:color w:val="auto"/>
        </w:rPr>
        <w:tab/>
      </w:r>
      <w:r>
        <w:rPr>
          <w:rFonts w:ascii="Times New Roman" w:cs="Times New Roman" w:eastAsia="Times New Roman" w:hAnsi="Times New Roman"/>
          <w:sz w:val="20"/>
          <w:szCs w:val="20"/>
          <w:b w:val="1"/>
          <w:bCs w:val="1"/>
          <w:u w:val="single" w:color="auto"/>
          <w:color w:val="auto"/>
        </w:rPr>
        <w:t>Capitalization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940" w:hanging="636"/>
        <w:spacing w:after="0"/>
        <w:tabs>
          <w:tab w:leader="none" w:pos="19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authorized capital of the Company consists, immediately prior to the Closing, of:</w:t>
      </w:r>
    </w:p>
    <w:p>
      <w:pPr>
        <w:spacing w:after="0" w:line="242" w:lineRule="exact"/>
        <w:rPr>
          <w:rFonts w:ascii="Times New Roman" w:cs="Times New Roman" w:eastAsia="Times New Roman" w:hAnsi="Times New Roman"/>
          <w:sz w:val="20"/>
          <w:szCs w:val="20"/>
          <w:color w:val="auto"/>
        </w:rPr>
      </w:pPr>
    </w:p>
    <w:p>
      <w:pPr>
        <w:ind w:left="1300" w:right="20" w:firstLine="652"/>
        <w:spacing w:after="0" w:line="259" w:lineRule="auto"/>
        <w:tabs>
          <w:tab w:leader="none" w:pos="258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200,000,000 shares of Class A Common Stock, 21,423,876 shares of which are issued and outstanding immediately prior to the Closing;</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5" w:lineRule="auto"/>
        <w:tabs>
          <w:tab w:leader="none" w:pos="259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 shares of Class B Common Stock, 14,867,850 shares of which are issued and outstanding immediately prior to the Closing, and 3,000245 pre-funded warrants to purchase an equal number of shares of Class B Common stock issued and outstanding immediately prior to the Closing;</w:t>
      </w:r>
    </w:p>
    <w:p>
      <w:pPr>
        <w:spacing w:after="0" w:line="201" w:lineRule="exact"/>
        <w:rPr>
          <w:rFonts w:ascii="Times New Roman" w:cs="Times New Roman" w:eastAsia="Times New Roman" w:hAnsi="Times New Roman"/>
          <w:sz w:val="22"/>
          <w:szCs w:val="22"/>
          <w:color w:val="auto"/>
        </w:rPr>
      </w:pPr>
    </w:p>
    <w:p>
      <w:pPr>
        <w:ind w:left="1300" w:firstLine="652"/>
        <w:spacing w:after="0" w:line="259" w:lineRule="auto"/>
        <w:tabs>
          <w:tab w:leader="none" w:pos="259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25,000,000 shares of Preferred Stock, 10,000,000 of which have been designated Series A Preferred Stock, 6,651,610 shares of which are issued and outstanding immediately prior to the Closing;</w:t>
      </w:r>
    </w:p>
    <w:p>
      <w:pPr>
        <w:spacing w:after="0" w:line="194" w:lineRule="exact"/>
        <w:rPr>
          <w:rFonts w:ascii="Times New Roman" w:cs="Times New Roman" w:eastAsia="Times New Roman" w:hAnsi="Times New Roman"/>
          <w:sz w:val="22"/>
          <w:szCs w:val="22"/>
          <w:color w:val="auto"/>
        </w:rPr>
      </w:pPr>
    </w:p>
    <w:p>
      <w:pPr>
        <w:ind w:left="1300" w:firstLine="652"/>
        <w:spacing w:after="0" w:line="259" w:lineRule="auto"/>
        <w:tabs>
          <w:tab w:leader="none" w:pos="258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warrants to purchase 14,450,795 shares of Class A Common Stock at an exercise price of $11.50 per share, all of which are issued and outstanding immediately prior to the Closing.</w:t>
      </w:r>
    </w:p>
    <w:p>
      <w:pPr>
        <w:spacing w:after="0" w:line="180" w:lineRule="exact"/>
        <w:rPr>
          <w:rFonts w:ascii="Times New Roman" w:cs="Times New Roman" w:eastAsia="Times New Roman" w:hAnsi="Times New Roman"/>
          <w:sz w:val="22"/>
          <w:szCs w:val="22"/>
          <w:color w:val="auto"/>
        </w:rPr>
      </w:pPr>
    </w:p>
    <w:p>
      <w:pPr>
        <w:ind w:firstLine="1304"/>
        <w:spacing w:after="0" w:line="269" w:lineRule="auto"/>
        <w:tabs>
          <w:tab w:leader="none" w:pos="193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outstanding shares of capital stock have been duly authorized, are fully paid and nonassessable and were issued in compliance with all applicable federal and state securities laws. The Company holds no capital stock in its treasury.</w:t>
      </w:r>
    </w:p>
    <w:p>
      <w:pPr>
        <w:spacing w:after="0" w:line="172" w:lineRule="exact"/>
        <w:rPr>
          <w:rFonts w:ascii="Times New Roman" w:cs="Times New Roman" w:eastAsia="Times New Roman" w:hAnsi="Times New Roman"/>
          <w:sz w:val="20"/>
          <w:szCs w:val="20"/>
          <w:color w:val="auto"/>
        </w:rPr>
      </w:pPr>
    </w:p>
    <w:p>
      <w:pPr>
        <w:jc w:val="both"/>
        <w:ind w:firstLine="1304"/>
        <w:spacing w:after="0" w:line="267" w:lineRule="auto"/>
        <w:tabs>
          <w:tab w:leader="none" w:pos="193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reserved 5,889,711 shares of Class A Common Stock for issuance to officers, directors, employees and consultants of the Company pursuant to its 2023 Incentive Equity Plan duly adopted by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and approved by the Company stockholders (the “</w:t>
      </w:r>
      <w:r>
        <w:rPr>
          <w:rFonts w:ascii="Times New Roman" w:cs="Times New Roman" w:eastAsia="Times New Roman" w:hAnsi="Times New Roman"/>
          <w:sz w:val="19"/>
          <w:szCs w:val="19"/>
          <w:b w:val="1"/>
          <w:bCs w:val="1"/>
          <w:i w:val="1"/>
          <w:iCs w:val="1"/>
          <w:color w:val="auto"/>
        </w:rPr>
        <w:t>Stock Plan</w:t>
      </w:r>
      <w:r>
        <w:rPr>
          <w:rFonts w:ascii="Times New Roman" w:cs="Times New Roman" w:eastAsia="Times New Roman" w:hAnsi="Times New Roman"/>
          <w:sz w:val="19"/>
          <w:szCs w:val="19"/>
          <w:color w:val="auto"/>
        </w:rPr>
        <w:t>”). Of such reserved shares of Class A Common Stock,</w:t>
      </w:r>
    </w:p>
    <w:p>
      <w:pPr>
        <w:spacing w:after="0" w:line="1" w:lineRule="exact"/>
        <w:rPr>
          <w:rFonts w:ascii="Times New Roman" w:cs="Times New Roman" w:eastAsia="Times New Roman" w:hAnsi="Times New Roman"/>
          <w:sz w:val="19"/>
          <w:szCs w:val="19"/>
          <w:color w:val="auto"/>
        </w:rPr>
      </w:pPr>
    </w:p>
    <w:p>
      <w:pPr>
        <w:jc w:val="both"/>
        <w:ind w:firstLine="8"/>
        <w:spacing w:after="0" w:line="247" w:lineRule="auto"/>
        <w:tabs>
          <w:tab w:leader="none" w:pos="24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2,363,791 shares have been issued pursuant to restricted stock purchase agreements, the vesting of restricted stock unit awards and/or the exercise of options and are currently outstanding (and included as outstanding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(ii) options to purchase 0 shares have been granted and are currently outstanding, (iii) 2,382,730 shares are reserved for issuance upon vesting of outstanding restricted stock unit awards, and (iv) 1,143,190 shares remain available for issuance to officers, directors, employees and consultants pursuant to the Stock Plan, all of which remain uncommitted and unallocated. The Stock Plan is subject to an increase of up to 5% of the total number of shares of all classes of common stock of the Company outstanding on the last day of the immediately preceding Fiscal Year.</w:t>
      </w:r>
    </w:p>
    <w:p>
      <w:pPr>
        <w:spacing w:after="0" w:line="198" w:lineRule="exact"/>
        <w:rPr>
          <w:rFonts w:ascii="Times New Roman" w:cs="Times New Roman" w:eastAsia="Times New Roman" w:hAnsi="Times New Roman"/>
          <w:sz w:val="20"/>
          <w:szCs w:val="20"/>
          <w:color w:val="auto"/>
        </w:rPr>
      </w:pPr>
    </w:p>
    <w:p>
      <w:pPr>
        <w:jc w:val="both"/>
        <w:ind w:firstLine="1304"/>
        <w:spacing w:after="0" w:line="276" w:lineRule="auto"/>
        <w:tabs>
          <w:tab w:leader="none" w:pos="1932"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the securities and rights described in </w:t>
      </w:r>
      <w:r>
        <w:rPr>
          <w:rFonts w:ascii="Times New Roman" w:cs="Times New Roman" w:eastAsia="Times New Roman" w:hAnsi="Times New Roman"/>
          <w:sz w:val="19"/>
          <w:szCs w:val="19"/>
          <w:u w:val="single" w:color="auto"/>
          <w:color w:val="auto"/>
        </w:rPr>
        <w:t>Sections 3.4(a)(ii)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3.4(a)(iii)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3.4(c)</w:t>
      </w:r>
      <w:r>
        <w:rPr>
          <w:rFonts w:ascii="Times New Roman" w:cs="Times New Roman" w:eastAsia="Times New Roman" w:hAnsi="Times New Roman"/>
          <w:sz w:val="19"/>
          <w:szCs w:val="19"/>
          <w:color w:val="auto"/>
        </w:rPr>
        <w:t xml:space="preserve"> of this Agreement, there are no outstanding options, warrants, rights (including conversion or preemptive rights and rights of first refusal or similar rights) or agreements, orally or in writing, to purchase or acquire from the Company any shares of Class A Common Stock, Class B Common Stock or Preferred Stock, or any securities convertible into or exchangeable for shares of Class A Common Stock, Class B Common Stock or Preferred Stock.</w:t>
      </w:r>
    </w:p>
    <w:p>
      <w:pPr>
        <w:spacing w:after="0" w:line="15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obtained valid waivers of any rights by other parties to purchase any of the Shares covered by this</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82" w:name="page83"/>
    <w:bookmarkEnd w:id="82"/>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III.5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color w:val="auto"/>
        </w:rPr>
        <w:t>. The Company’s Annual Report on Form 10-K for the period ended December 31, 2023, as filed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 on March 28, 2024, as amended on by the Form 10-K/A filed with the SEC on April 29, 2024, contains the complete and accurate copies of the audited balance sheets and statements of operations with respect to the Company Entities as of and for the fiscal year ended December 31, 2023 (the “</w:t>
      </w:r>
      <w:r>
        <w:rPr>
          <w:rFonts w:ascii="Times New Roman" w:cs="Times New Roman" w:eastAsia="Times New Roman" w:hAnsi="Times New Roman"/>
          <w:sz w:val="20"/>
          <w:szCs w:val="20"/>
          <w:b w:val="1"/>
          <w:bCs w:val="1"/>
          <w:i w:val="1"/>
          <w:iCs w:val="1"/>
          <w:color w:val="auto"/>
        </w:rPr>
        <w:t>Annual Financial Statements</w:t>
      </w:r>
      <w:r>
        <w:rPr>
          <w:rFonts w:ascii="Times New Roman" w:cs="Times New Roman" w:eastAsia="Times New Roman" w:hAnsi="Times New Roman"/>
          <w:sz w:val="20"/>
          <w:szCs w:val="20"/>
          <w:color w:val="auto"/>
        </w:rPr>
        <w:t xml:space="preserve">”) and attached as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is substantially complete and accurate copies of the unaudited interim balance sheets and statements of operations with respect to the Company Entities as of and for the nine months ended September 30, 2024 (the “</w:t>
      </w:r>
      <w:r>
        <w:rPr>
          <w:rFonts w:ascii="Times New Roman" w:cs="Times New Roman" w:eastAsia="Times New Roman" w:hAnsi="Times New Roman"/>
          <w:sz w:val="20"/>
          <w:szCs w:val="20"/>
          <w:b w:val="1"/>
          <w:bCs w:val="1"/>
          <w:i w:val="1"/>
          <w:iCs w:val="1"/>
          <w:color w:val="auto"/>
        </w:rPr>
        <w:t>Balance Sheet Date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Interim Financial Statements</w:t>
      </w:r>
      <w:r>
        <w:rPr>
          <w:rFonts w:ascii="Times New Roman" w:cs="Times New Roman" w:eastAsia="Times New Roman" w:hAnsi="Times New Roman"/>
          <w:sz w:val="20"/>
          <w:szCs w:val="20"/>
          <w:color w:val="auto"/>
        </w:rPr>
        <w:t>” and, together with the Annual Financial Statements, the “</w:t>
      </w: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 xml:space="preserve">”), which Financial Statements are maintained on an accrual basis. The condensed consolidated financial statements filed with the Company’s Quarterly Report on Form 10-Q, anticipated to be filed on or about November 14, 2024, shall reflect no material changes to the assets, liabilities, financial condition or operating results of the Company set forth in the Interim Financial Statements.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the Financial Statements present fairly in all material respects the financial condition and results of operations of the Company Entities as of the dates and for the periods indicated therein in accordance with GAAP.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there are no obligations or liabilities, whether absolute, accrued, contingent or otherwise, of the Company Entities that are required in accordance with GAAP to be reflected or disclosed in the Financial Statements except for obligations or liabilities (a) reflected or disclosed in the Financial Statements or (b) incurred in the ordinary course of business since the Balance Sheet Date, none of which have had a Material Adverse Change.   The Company has established and maintains systems of internal accounting controls that are designed to provide reasonable assurance regarding the reliability of financial reporting and the preparation of financial statements for external purposes in accordance with generally accepted accounting principles. The Company maintains and, for all periods covered by the Financial Statements, has maintained books and records of the Company in the ordinary course of business that are, to the Company’s Knowledge, accurate and complete in all material respects and reflect the revenues, expenses, assets and liabilities of the Company and its Subsidiaries in all material respects.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neither the Company nor the Company’s independent auditors have identified or been made aware of (after reasonable inquiry) any (i) “significant deficiency” in the internal controls over financial reporting of the Company, (ii) “material weakness” in the internal controls over financial reporting of the Company or (iii) fraud, whether or not material, that involves management or other employees of the Company who have a significant role in the internal controls over financial reporting of the Company.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III.6</w:t>
      </w:r>
      <w:r>
        <w:rPr>
          <w:sz w:val="20"/>
          <w:szCs w:val="20"/>
          <w:color w:val="auto"/>
        </w:rPr>
        <w:tab/>
      </w:r>
      <w:r>
        <w:rPr>
          <w:rFonts w:ascii="Times New Roman" w:cs="Times New Roman" w:eastAsia="Times New Roman" w:hAnsi="Times New Roman"/>
          <w:sz w:val="20"/>
          <w:szCs w:val="20"/>
          <w:b w:val="1"/>
          <w:bCs w:val="1"/>
          <w:u w:val="single" w:color="auto"/>
          <w:color w:val="auto"/>
        </w:rPr>
        <w:t>Licenses and Accreditations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Entities hold all Permits necessary for the lawful conduct of the Business. All such Permits (i) have been issued or given to the Company Entities and no other Person and (ii) are in good standing and full force and effect. Each of the Company Entities is operating in material compliance with each such issued Permit, and to the Company’s Knowledge, there is no basis for any Governmental Authority or other Person to allege that any of the Company Entities is not currently, operating in material compliance with any such Permit, or to take any action to revoke, involuntarily deactivate, withdraw, terminate or suspend any such Permit.</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each healthcare professional employed by the Company Entities who is required by applicable Law to have a license or certification in order to provide services to or on behalf of the Company Entities (each, a “</w:t>
      </w:r>
      <w:r>
        <w:rPr>
          <w:rFonts w:ascii="Times New Roman" w:cs="Times New Roman" w:eastAsia="Times New Roman" w:hAnsi="Times New Roman"/>
          <w:sz w:val="20"/>
          <w:szCs w:val="20"/>
          <w:b w:val="1"/>
          <w:bCs w:val="1"/>
          <w:i w:val="1"/>
          <w:iCs w:val="1"/>
          <w:color w:val="auto"/>
        </w:rPr>
        <w:t>Healthcare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Professional</w:t>
      </w:r>
      <w:r>
        <w:rPr>
          <w:rFonts w:ascii="Times New Roman" w:cs="Times New Roman" w:eastAsia="Times New Roman" w:hAnsi="Times New Roman"/>
          <w:sz w:val="20"/>
          <w:szCs w:val="20"/>
          <w:color w:val="auto"/>
        </w:rPr>
        <w:t>“) is and, to the Company’s Knowledge, has been since January 1, 2021, to the extent that Healthcare Professional provided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health care services to or on behalf of the Company Entities during that time, duly licensed and certified in each applicable jurisdiction as required by applicable Law. To the Company’s Knowledge, each Healthcare Professional’s license or certification is in good standing with the applicable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0"/>
          <w:szCs w:val="20"/>
          <w:color w:val="auto"/>
        </w:rPr>
        <w:t>licensing Governmental Authority, and no action is pending or, to the Company’s Knowledge, threatened that would terminate or suspend any Healthcare Professional’s license. To the Company’s Knowledge, each Healthcare Professional is and has been since January 1, 2021 (to the extent that Healthcare Professional provided any health care services to or on behalf of the Company Entities during that time), duly certified to participate in, and has participated in, Medicare, applicable Medicaid programs, and all other Third Party Payor programs in which the applicable Company Entity has participated. To the Company’s Knowledge, each Healthcare Professional currently providing services for the Company Entities is credentialed, privileged, in good standing on the medical staff at each facility at which he or she performs services on behalf of the Company Entities, and, to the Company’s Knowledge, no reason or condition exists that would materially impact any such Healthcare Professional’s credentialing and medical staff privileges.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III.7 </w:t>
      </w:r>
      <w:r>
        <w:rPr>
          <w:rFonts w:ascii="Times New Roman" w:cs="Times New Roman" w:eastAsia="Times New Roman" w:hAnsi="Times New Roman"/>
          <w:sz w:val="20"/>
          <w:szCs w:val="20"/>
          <w:b w:val="1"/>
          <w:bCs w:val="1"/>
          <w:u w:val="single" w:color="auto"/>
          <w:color w:val="auto"/>
        </w:rPr>
        <w:t>Compliance with Other Instruments</w:t>
      </w:r>
      <w:r>
        <w:rPr>
          <w:rFonts w:ascii="Times New Roman" w:cs="Times New Roman" w:eastAsia="Times New Roman" w:hAnsi="Times New Roman"/>
          <w:sz w:val="20"/>
          <w:szCs w:val="20"/>
          <w:color w:val="auto"/>
        </w:rPr>
        <w:t>. The Company is not in violation or default, and no default is pending or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note, indenture, mortgage, or credit facility, lease, agreement, contract or purchase order to which it is a party or by which it is bound that is required to be listed on the Disclosure Schedule. The execution, delivery and performance of the Transaction Documents and the consummation of the transactions contemplated by the Transaction Documents will not result in any such violation or be in conflict with or constitute, with or without the passage of time and giving of notice, a default under any such note, indenture, mortgage, lease, agreement, contract or purchase order.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III.8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The Company Entities are and, since January 1, 2021 have been, in material compliance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Laws. Except as set forth on </w:t>
      </w:r>
      <w:r>
        <w:rPr>
          <w:rFonts w:ascii="Times New Roman" w:cs="Times New Roman" w:eastAsia="Times New Roman" w:hAnsi="Times New Roman"/>
          <w:sz w:val="20"/>
          <w:szCs w:val="20"/>
          <w:u w:val="single" w:color="auto"/>
          <w:color w:val="auto"/>
        </w:rPr>
        <w:t>Schedule 3.8</w:t>
      </w:r>
      <w:r>
        <w:rPr>
          <w:rFonts w:ascii="Times New Roman" w:cs="Times New Roman" w:eastAsia="Times New Roman" w:hAnsi="Times New Roman"/>
          <w:sz w:val="20"/>
          <w:szCs w:val="20"/>
          <w:color w:val="auto"/>
        </w:rPr>
        <w:t>, since January 1, 2021, no Company Entity has been cited, fined or otherwise notified in writing of any material failure to comply with any Law that has not been paid or cured and, to the Company’s Knowledge there is no basis for any Governmental Authority or other Person to allege that the Company Entities have materially failed to comply with any Law since January 1, 2021.</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III.9</w:t>
      </w:r>
      <w:r>
        <w:rPr>
          <w:sz w:val="20"/>
          <w:szCs w:val="20"/>
          <w:color w:val="auto"/>
        </w:rPr>
        <w:tab/>
      </w:r>
      <w:r>
        <w:rPr>
          <w:rFonts w:ascii="Times New Roman" w:cs="Times New Roman" w:eastAsia="Times New Roman" w:hAnsi="Times New Roman"/>
          <w:sz w:val="20"/>
          <w:szCs w:val="20"/>
          <w:b w:val="1"/>
          <w:bCs w:val="1"/>
          <w:u w:val="single" w:color="auto"/>
          <w:color w:val="auto"/>
        </w:rPr>
        <w:t>Regulatory Compliance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3.9</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to the Company’s Knowledge, the Company Entities are and have been in compliance in all material respects with all applicable Laws (other than Environmental Laws), including the applicable Healthcare Laws. Since January 1, 2021, Company Entities have not received notice or other communication from any Person of any inquiry, proceeding or investigation by any Governmental Authority alleging or based upon a material violation of any Healthcare Laws by any Company Entity or that involves services furnished or claims submitted by, or on behalf of, the Company Entities.</w:t>
      </w:r>
    </w:p>
    <w:p>
      <w:pPr>
        <w:spacing w:after="0" w:line="19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January 1, 2021, to the Company’s Knowledge, all billing and claims submission practices of the Company Entities with respect to Third-Party Payors have been in compliance in all material respects with all applicable Healthcare Laws. To the Company’s Knowledge, since January 1, 2021, neither the Company Entities nor their respective directors, officers, or employees have submitted or caused to be submitted for payment or reimbursement any false, fraudulent or otherwise improper claims either directly or indirectly to any patient or Third Party Payor, or unlawfully retained any payment or reimbursement in excess of amounts allowed by applicable Healthcare Laws or the policies of such Third Party Payors. Except as set forth in </w:t>
      </w:r>
      <w:r>
        <w:rPr>
          <w:rFonts w:ascii="Times New Roman" w:cs="Times New Roman" w:eastAsia="Times New Roman" w:hAnsi="Times New Roman"/>
          <w:sz w:val="20"/>
          <w:szCs w:val="20"/>
          <w:u w:val="single" w:color="auto"/>
          <w:color w:val="auto"/>
        </w:rPr>
        <w:t>Schedule 3.9(b)</w:t>
      </w:r>
      <w:r>
        <w:rPr>
          <w:rFonts w:ascii="Times New Roman" w:cs="Times New Roman" w:eastAsia="Times New Roman" w:hAnsi="Times New Roman"/>
          <w:sz w:val="20"/>
          <w:szCs w:val="20"/>
          <w:color w:val="auto"/>
        </w:rPr>
        <w:t>, since January 1, 2021, no Governmental Authority, Third Party Payor or other Person has conducted, or has given the Company Entities or their respective directors, officers or employees any written notice that it intends to conduct, any audit or other review of the Company Entities with regard to the participation by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0"/>
          <w:szCs w:val="20"/>
          <w:color w:val="auto"/>
        </w:rPr>
        <w:t>Entities in, the provision of services under, or submission of claims to any Third Party Payor, that has resulted in, or would reasonably be expected to result in, any material liability to the Company Entities for any reimbursement, penalty or interest with respect to payments received by the Company Entities. Since January 1, 2021, other than claims disputes in the ordinary course of business, the Company Entities do not have any reimbursement or payment rate appeals, disputes, recoupment Actions, or contested positions currently pending before any Governmental Authority or Third Party Payor.</w:t>
      </w:r>
    </w:p>
    <w:p>
      <w:pPr>
        <w:spacing w:after="0" w:line="192" w:lineRule="exact"/>
        <w:rPr>
          <w:sz w:val="20"/>
          <w:szCs w:val="20"/>
          <w:color w:val="auto"/>
        </w:rPr>
      </w:pPr>
    </w:p>
    <w:p>
      <w:pPr>
        <w:jc w:val="both"/>
        <w:ind w:firstLine="1304"/>
        <w:spacing w:after="0" w:line="253"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no Company Entity or, to the Company’s Knowledge, any Representative thereof, has, since January 1, 2021, directly or indirectly offered, paid, solicited or received, or made arrangements to offer, pay, solicit or receive, any remuneration, in cash or in kind, to or from any past, present, or potential customers, past, present, or potential suppliers, patients, Healthcare Professionals, medical staff members, contractors, referral sources, or Third Party Payors in violation of any applicable Healthcare Law.</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III.10 </w:t>
      </w:r>
      <w:r>
        <w:rPr>
          <w:rFonts w:ascii="Times New Roman" w:cs="Times New Roman" w:eastAsia="Times New Roman" w:hAnsi="Times New Roman"/>
          <w:sz w:val="20"/>
          <w:szCs w:val="20"/>
          <w:b w:val="1"/>
          <w:bCs w:val="1"/>
          <w:u w:val="single" w:color="auto"/>
          <w:color w:val="auto"/>
        </w:rPr>
        <w:t>Compliance Program</w:t>
      </w:r>
      <w:r>
        <w:rPr>
          <w:rFonts w:ascii="Times New Roman" w:cs="Times New Roman" w:eastAsia="Times New Roman" w:hAnsi="Times New Roman"/>
          <w:sz w:val="20"/>
          <w:szCs w:val="20"/>
          <w:color w:val="auto"/>
        </w:rPr>
        <w:t>. Each Company Entity has a corporate compliance program that includes the implementation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policies, procedures, and training programs, and other compliance activities designed for its employees and agents to comply with all applicable Healthcare Laws. Since January 1, 2021, each Company Entity has conducted its operations in accordance with the applicable compliance programs in all material respects during the applicable period for which such compliance program was in effect.</w:t>
      </w:r>
    </w:p>
    <w:p>
      <w:pPr>
        <w:spacing w:after="0" w:line="168" w:lineRule="exact"/>
        <w:rPr>
          <w:sz w:val="20"/>
          <w:szCs w:val="20"/>
          <w:color w:val="auto"/>
        </w:rPr>
      </w:pPr>
    </w:p>
    <w:p>
      <w:pPr>
        <w:jc w:val="both"/>
        <w:ind w:firstLine="1304"/>
        <w:spacing w:after="0" w:line="25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has, since January 1, 2021, made or is in the process of making a voluntary self-disclosure under the Self-Referral Disclosure Protocol established by the Secretary of HHS pursuant to Section 6409 of the Patient Protection and Affordable Care Act, or under the self-disclosure protocol established and maintained by the HHS Office of the Inspector General, or any United States Attorney, the U.S. Department of Justice, a state Medicaid program or fraud unit, a state Attorney General, or other Governmental Authority. No Company Entity is currently considering any such self-disclosure, and to the Company’s Knowledge, no Company Entity has an obligation to make any such self-disclosure in lieu of repayment under Section 6402(a) of the Patient Protection and Affordable Care Act.</w:t>
      </w:r>
    </w:p>
    <w:p>
      <w:pPr>
        <w:spacing w:after="0" w:line="179"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is or has since January 1, 2021 been (i) a party to a Corporate Integrity Agreement with the HHS Office of Inspector General or a deferred prosecution agreement, consent decree or other settlement agreement with any other Governmental Authority; (ii) subject to any reporting obligations pursuant to any Corporate Integrity Agreement, deferred prosecution agreement, consent decree or other settlement agreement entered into with any Governmental Authority.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has: (i) been debarred, suspended or excluded from participation in the Medicare, Medicaid or any other Government Reimbursement Program; (ii) been charged with or convicted of a criminal offense related to any Healthcare Law or been convicted of a criminal offense relating to fraud, theft, embezzlement, breach of fiduciary responsibility, or other financial misconduct in connection with the delivery of a health care item or service, or in connection with a program operated by or financed in whole or in part by any Government Reimbursement Program or Governmental Authority.</w:t>
      </w:r>
    </w:p>
    <w:p>
      <w:pPr>
        <w:spacing w:after="0" w:line="1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is subject to (i) any financial solvency requirements, including but not limited to maintaining tangible net equity, working capital, cash to claims ratio, medical loss ratio or other financial reserve levels and solvency requirements, (ii) any restrictions on the payment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5" w:name="page86"/>
    <w:bookmarkEnd w:id="85"/>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of dividends or other distributions on its shares of capital stock, or (iii) any restrictions on borrowing funds or incurring debts and on co-signing, guaranteeing, or assuming any loans or debts of another Company Entity, except for such requirements, conditions, or restrictions applicable to Company Entity under the Health Care Laws or other Laws of general application.</w:t>
      </w:r>
    </w:p>
    <w:p>
      <w:pPr>
        <w:spacing w:after="0" w:line="181" w:lineRule="exact"/>
        <w:rPr>
          <w:sz w:val="20"/>
          <w:szCs w:val="20"/>
          <w:color w:val="auto"/>
        </w:rPr>
      </w:pPr>
    </w:p>
    <w:p>
      <w:pPr>
        <w:jc w:val="both"/>
        <w:ind w:firstLine="1304"/>
        <w:spacing w:after="0" w:line="261"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taken advantage of any limited liability under the Public Readiness and Emergency Preparedness Act (the “</w:t>
      </w:r>
      <w:r>
        <w:rPr>
          <w:rFonts w:ascii="Times New Roman" w:cs="Times New Roman" w:eastAsia="Times New Roman" w:hAnsi="Times New Roman"/>
          <w:sz w:val="20"/>
          <w:szCs w:val="20"/>
          <w:b w:val="1"/>
          <w:bCs w:val="1"/>
          <w:i w:val="1"/>
          <w:iCs w:val="1"/>
          <w:color w:val="auto"/>
        </w:rPr>
        <w:t>PREP Act</w:t>
      </w:r>
      <w:r>
        <w:rPr>
          <w:rFonts w:ascii="Times New Roman" w:cs="Times New Roman" w:eastAsia="Times New Roman" w:hAnsi="Times New Roman"/>
          <w:sz w:val="20"/>
          <w:szCs w:val="20"/>
          <w:color w:val="auto"/>
        </w:rPr>
        <w:t>”) to address alleged claims for damages arising from its distribution or use of “covered countermeasures,” as defined in the PREP Act, during the outbreak of COVID-19.</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III.11</w:t>
      </w:r>
      <w:r>
        <w:rPr>
          <w:sz w:val="20"/>
          <w:szCs w:val="20"/>
          <w:color w:val="auto"/>
        </w:rPr>
        <w:tab/>
      </w:r>
      <w:r>
        <w:rPr>
          <w:rFonts w:ascii="Times New Roman" w:cs="Times New Roman" w:eastAsia="Times New Roman" w:hAnsi="Times New Roman"/>
          <w:sz w:val="19"/>
          <w:szCs w:val="19"/>
          <w:b w:val="1"/>
          <w:bCs w:val="1"/>
          <w:u w:val="single" w:color="auto"/>
          <w:color w:val="auto"/>
        </w:rPr>
        <w:t>HIPAA and Privacy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each Company Entity is and has been in material compliance with HIPAA and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Privacy Laws.</w:t>
      </w:r>
    </w:p>
    <w:p>
      <w:pPr>
        <w:spacing w:after="0" w:line="200" w:lineRule="exact"/>
        <w:rPr>
          <w:sz w:val="20"/>
          <w:szCs w:val="20"/>
          <w:color w:val="auto"/>
        </w:rPr>
      </w:pPr>
    </w:p>
    <w:p>
      <w:pPr>
        <w:jc w:val="both"/>
        <w:ind w:firstLine="1304"/>
        <w:spacing w:after="0" w:line="25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when functioning either as a “Covered Entity” or as a “Business Associate” (each as defined in 45 C.F.R. § 160.103), each Company Entity has executed valid “business associate agreement” (as described in 45 C.F.R. §§ 164.502(e) and 164.504(e)) with each: (x) agent or contractor of such Company Entity that is a “Business Associate” or Business Associate of such Company Entity; and (y) Covered Entity for which such Company Entity performs functions or activities that renders such Company Entity a Business Associate or Subcontractor (as defined by 45 C.F.R. § 160.103). No Company Entity or, to the Company’s Knowledge, any of their respective Business Associates, has materially breached any such business associate agreement.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no Company Entity has received any written or oral communication from any Governmental Authority alleging material non-compliance by such Company Entity or any Business Associate, agent or subcontractor of such Company Entity with respect to either HIPAA or a Privacy Law. There is no ongoing or, to the Company’s Knowledge, imminently threatened litigation, enforcement proceeding, or to the Company’s Knowledge, any investigation by any Governmental Authority with respect to the HIPAA or Privacy Law compliance of any Company Entity or any Business Associate, agent or subcontractor of any Company Entity.</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no Company Entity has experienced any: (i) breach of privacy, security, or confidentiality with respect to Personal Information that required notification to affected data subjects or Governmental Authorities under applicable Privacy Laws; (ii) Breach of Unsecured Protected Health Information, as “Breach” and “Unsecured Protected Health Information” are defined by HIPAA that required notification to affected data subjects, customers or Governmental Authorities under HIPAA; or (iii) any Security Incident as “Security Incident” is defined by HIPAA that required notification to customers under HIPAA.</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III.12</w:t>
      </w:r>
      <w:r>
        <w:rPr>
          <w:sz w:val="20"/>
          <w:szCs w:val="20"/>
          <w:color w:val="auto"/>
        </w:rPr>
        <w:tab/>
      </w:r>
      <w:r>
        <w:rPr>
          <w:rFonts w:ascii="Times New Roman" w:cs="Times New Roman" w:eastAsia="Times New Roman" w:hAnsi="Times New Roman"/>
          <w:sz w:val="19"/>
          <w:szCs w:val="19"/>
          <w:b w:val="1"/>
          <w:bCs w:val="1"/>
          <w:u w:val="single" w:color="auto"/>
          <w:color w:val="auto"/>
        </w:rPr>
        <w:t>Material Contracts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68" w:lineRule="auto"/>
        <w:tabs>
          <w:tab w:leader="none" w:pos="19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3.12(a)</w:t>
      </w:r>
      <w:r>
        <w:rPr>
          <w:rFonts w:ascii="Times New Roman" w:cs="Times New Roman" w:eastAsia="Times New Roman" w:hAnsi="Times New Roman"/>
          <w:sz w:val="20"/>
          <w:szCs w:val="20"/>
          <w:color w:val="auto"/>
        </w:rPr>
        <w:t xml:space="preserve"> sets forth a complete and accurate list of all Contracts in effect as the Effective Date, as applicable, including all amendments and supplements thereto, to which there is any obligation or liability remaining and a Company Entity is a party or by which a Company Entity is bound, meeting any of the descriptions set forth below (collectively, the “</w:t>
      </w:r>
      <w:r>
        <w:rPr>
          <w:rFonts w:ascii="Times New Roman" w:cs="Times New Roman" w:eastAsia="Times New Roman" w:hAnsi="Times New Roman"/>
          <w:sz w:val="20"/>
          <w:szCs w:val="20"/>
          <w:b w:val="1"/>
          <w:bCs w:val="1"/>
          <w:i w:val="1"/>
          <w:iCs w:val="1"/>
          <w:color w:val="auto"/>
        </w:rPr>
        <w:t>Material Contracts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right="20" w:firstLine="652"/>
        <w:spacing w:after="0" w:line="259" w:lineRule="auto"/>
        <w:tabs>
          <w:tab w:leader="none" w:pos="264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involves aggregate payments or consideration (contingent or otherwise) payable (A) by any Company Entity of more than $500,000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6" w:name="page87"/>
    <w:bookmarkEnd w:id="86"/>
    <w:p>
      <w:pPr>
        <w:ind w:left="1280" w:firstLine="4"/>
        <w:spacing w:after="0" w:line="283" w:lineRule="auto"/>
        <w:tabs>
          <w:tab w:leader="none" w:pos="161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Company Entity of more than $500,000, in each case, in the calendar year ended December 31, 2021 or any subsequent calendar year;</w:t>
      </w:r>
    </w:p>
    <w:p>
      <w:pPr>
        <w:spacing w:after="0" w:line="173" w:lineRule="exact"/>
        <w:rPr>
          <w:rFonts w:ascii="Times New Roman" w:cs="Times New Roman" w:eastAsia="Times New Roman" w:hAnsi="Times New Roman"/>
          <w:sz w:val="20"/>
          <w:szCs w:val="20"/>
          <w:color w:val="auto"/>
        </w:rPr>
      </w:pPr>
    </w:p>
    <w:p>
      <w:pPr>
        <w:jc w:val="both"/>
        <w:ind w:left="1280" w:firstLine="652"/>
        <w:spacing w:after="0" w:line="250" w:lineRule="auto"/>
        <w:tabs>
          <w:tab w:leader="none" w:pos="257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relating to indebtedness (A) with a principal amount (including the amount of any undrawn but available commitments thereunder) in excess of $500,000 or (B) for borrowed money, and any pledge agreements, security agreements or other collateral agreements in which with respect to any Company Entity granted to any Person a security interest in or Encumbrance on any of the property or assets of with respect to any Company Entity;</w:t>
      </w:r>
    </w:p>
    <w:p>
      <w:pPr>
        <w:spacing w:after="0" w:line="219"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is a purchase and sale or similar agreement for the acquisition of any person or any business unit thereof or the disposition of any material assets of any Company Entity pursuant to which there are any material ongoing obligations;</w:t>
      </w:r>
    </w:p>
    <w:p>
      <w:pPr>
        <w:spacing w:after="0" w:line="208" w:lineRule="exact"/>
        <w:rPr>
          <w:rFonts w:ascii="Times New Roman" w:cs="Times New Roman" w:eastAsia="Times New Roman" w:hAnsi="Times New Roman"/>
          <w:sz w:val="22"/>
          <w:szCs w:val="22"/>
          <w:color w:val="auto"/>
        </w:rPr>
      </w:pPr>
    </w:p>
    <w:p>
      <w:pPr>
        <w:jc w:val="both"/>
        <w:ind w:left="1280" w:firstLine="652"/>
        <w:spacing w:after="0" w:line="251" w:lineRule="auto"/>
        <w:tabs>
          <w:tab w:leader="none" w:pos="25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lease, rental or occupancy agreement, license, installment and conditional sale agreement and each other Contract with outstanding material obligations that provides for the ownership of, leasing of, occupancy of, title to, use of, or any leasehold or other interest in any real or personal property involving payments of at least $500,000 in the aggregate during the remaining term of such Contract, other than sales or purchase agreements in the ordinary course of business and sales of obsolete equipment;</w:t>
      </w:r>
    </w:p>
    <w:p>
      <w:pPr>
        <w:spacing w:after="0" w:line="204" w:lineRule="exact"/>
        <w:rPr>
          <w:rFonts w:ascii="Times New Roman" w:cs="Times New Roman" w:eastAsia="Times New Roman" w:hAnsi="Times New Roman"/>
          <w:sz w:val="22"/>
          <w:szCs w:val="22"/>
          <w:color w:val="auto"/>
        </w:rPr>
      </w:pPr>
    </w:p>
    <w:p>
      <w:pPr>
        <w:jc w:val="both"/>
        <w:ind w:left="1280" w:firstLine="652"/>
        <w:spacing w:after="0" w:line="255" w:lineRule="auto"/>
        <w:tabs>
          <w:tab w:leader="none" w:pos="257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joint venture Contract, agreement establishing an entity that is a partnership, limited liability company agreement or similar Contract (other than Contracts between wholly-owned Subsidiaries of the Company) that is material to the business of the Company Entities, taken as a whole;</w:t>
      </w:r>
    </w:p>
    <w:p>
      <w:pPr>
        <w:spacing w:after="0" w:line="201" w:lineRule="exact"/>
        <w:rPr>
          <w:rFonts w:ascii="Times New Roman" w:cs="Times New Roman" w:eastAsia="Times New Roman" w:hAnsi="Times New Roman"/>
          <w:sz w:val="22"/>
          <w:szCs w:val="22"/>
          <w:color w:val="auto"/>
        </w:rPr>
      </w:pPr>
    </w:p>
    <w:p>
      <w:pPr>
        <w:jc w:val="both"/>
        <w:ind w:left="1280" w:firstLine="652"/>
        <w:spacing w:after="0" w:line="250" w:lineRule="auto"/>
        <w:tabs>
          <w:tab w:leader="none" w:pos="25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prohibiting or restricting in any material respect the ability of any Company Entity to engage in any business, to solicit any potential customer, to operate in any geographical area or to compete with any Person, in each case, in any material respect, other than customary non-disclosure provisions or non-solicitation and no-hire provisions for employment entered into in the ordinary course of business;</w:t>
      </w:r>
    </w:p>
    <w:p>
      <w:pPr>
        <w:spacing w:after="0" w:line="205"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license or other agreement (excluding (A) non-disclosure agreements, (B) non-exclusive Intellectual Property licenses incidental to employee, consultant, contractor, other service provider, marketing, printing or advertising Contracts, and (C) licenses to open source code, in each case, entered into in the ordinary course of business) under which the Company or any of its Subsidiaries (I) is a licensee with respect to any item of Intellectual Property (excluding non-exclusive licenses in respect of commercially available, unmodified, “off-the-shelf” software or software-as-a-service involving payments of not more than $500,000 in any year, or granted by a customer under a customer agreement in the ordinary course of business for the purpose of allowing the Company to provide services to such customer), (II) is a licensor or otherwise grants to a third party any rights to use any item of Intellectual Property, or (III) entered into to settle or resolve any Intellectual Property-related dispute, including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-15-</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20"/>
          </w:cols>
          <w:pgMar w:left="340" w:top="1413" w:right="339" w:bottom="1440" w:gutter="0" w:footer="0" w:header="0"/>
        </w:sectPr>
      </w:pPr>
    </w:p>
    <w:bookmarkStart w:id="87" w:name="page88"/>
    <w:bookmarkEnd w:id="87"/>
    <w:p>
      <w:pPr>
        <w:ind w:left="1280"/>
        <w:spacing w:after="0" w:line="283" w:lineRule="auto"/>
        <w:rPr>
          <w:sz w:val="20"/>
          <w:szCs w:val="20"/>
          <w:color w:val="auto"/>
        </w:rPr>
      </w:pPr>
      <w:r>
        <w:rPr>
          <w:rFonts w:ascii="Times New Roman" w:cs="Times New Roman" w:eastAsia="Times New Roman" w:hAnsi="Times New Roman"/>
          <w:sz w:val="20"/>
          <w:szCs w:val="20"/>
          <w:color w:val="auto"/>
        </w:rPr>
        <w:t>settlement agreements, covenants not to sue, consent agreements, and co-existence agreements, in each case involving an amount in controversy of at least $500,000;</w:t>
      </w:r>
    </w:p>
    <w:p>
      <w:pPr>
        <w:spacing w:after="0" w:line="173" w:lineRule="exact"/>
        <w:rPr>
          <w:sz w:val="20"/>
          <w:szCs w:val="20"/>
          <w:color w:val="auto"/>
        </w:rPr>
      </w:pPr>
    </w:p>
    <w:p>
      <w:pPr>
        <w:jc w:val="both"/>
        <w:ind w:left="1280" w:firstLine="652"/>
        <w:spacing w:after="0" w:line="248" w:lineRule="auto"/>
        <w:tabs>
          <w:tab w:leader="none" w:pos="262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for the development of Intellectual Property by a third party that is material to the business of any Company Entity (other than pursuant to the Company’s standard form employee invention assignment or consulting or independent contractor agreements, copies of which have been provided to Buyer);</w:t>
      </w:r>
    </w:p>
    <w:p>
      <w:pPr>
        <w:spacing w:after="0" w:line="221" w:lineRule="exact"/>
        <w:rPr>
          <w:rFonts w:ascii="Times New Roman" w:cs="Times New Roman" w:eastAsia="Times New Roman" w:hAnsi="Times New Roman"/>
          <w:sz w:val="22"/>
          <w:szCs w:val="22"/>
          <w:color w:val="auto"/>
        </w:rPr>
      </w:pPr>
    </w:p>
    <w:p>
      <w:pPr>
        <w:jc w:val="both"/>
        <w:ind w:left="1280" w:firstLine="652"/>
        <w:spacing w:after="0" w:line="249"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each Contract with any service provider of the Company or other Person that (A) provides for severance, termination payment, notice of termination, or similar compensation or benefit; (B) provides for the payment or accelerated vesting of any compensation or benefits in connection with the consummation of the transactions contemplated hereby, alone or in combination with any other event, including any retention, change of control, transaction or similar payments; (C) otherwise restricts the ability of the Company or any of its Subsidiaries to terminate employment or engagement of such individual at any time for any reason or no reason without penalty or liability; or (D) that provides for annual compensation in excess of $200,000,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other than as required by Law;</w:t>
      </w:r>
    </w:p>
    <w:p>
      <w:pPr>
        <w:spacing w:after="0" w:line="209" w:lineRule="exact"/>
        <w:rPr>
          <w:rFonts w:ascii="Times New Roman" w:cs="Times New Roman" w:eastAsia="Times New Roman" w:hAnsi="Times New Roman"/>
          <w:sz w:val="22"/>
          <w:szCs w:val="22"/>
          <w:color w:val="auto"/>
        </w:rPr>
      </w:pPr>
    </w:p>
    <w:p>
      <w:pPr>
        <w:ind w:left="1280" w:firstLine="652"/>
        <w:spacing w:after="0" w:line="259" w:lineRule="auto"/>
        <w:tabs>
          <w:tab w:leader="none" w:pos="25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collective bargaining agreement or other Contract with a Company Entity, on the one hand, and any labor union, labor organization or works council representing employees of any Company Entity, on the other hand;</w:t>
      </w:r>
    </w:p>
    <w:p>
      <w:pPr>
        <w:spacing w:after="0" w:line="194" w:lineRule="exact"/>
        <w:rPr>
          <w:rFonts w:ascii="Times New Roman" w:cs="Times New Roman" w:eastAsia="Times New Roman" w:hAnsi="Times New Roman"/>
          <w:sz w:val="22"/>
          <w:szCs w:val="22"/>
          <w:color w:val="auto"/>
        </w:rPr>
      </w:pPr>
    </w:p>
    <w:p>
      <w:pPr>
        <w:jc w:val="both"/>
        <w:ind w:left="1280" w:firstLine="652"/>
        <w:spacing w:after="0" w:line="255"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is a settlement, conciliation or similar agreement with any Governmental Authority or pursuant to which the Company or any of its Subsidiaries will have any outstanding obligation in excess of $500,000 after the date hereof;</w:t>
      </w:r>
    </w:p>
    <w:p>
      <w:pPr>
        <w:spacing w:after="0" w:line="201"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sales commission, revenue sharing, distributor, reseller, referral or brokerage Contract or other similar Contract that involves (A) annual payments to any Company Entity in excess of $500,000, (B) annual payments by any Company Entity in excess of $250,000 or (C) is not cancellable on 30 calendar days’ notice without payment or penalty;</w:t>
      </w:r>
    </w:p>
    <w:p>
      <w:pPr>
        <w:spacing w:after="0" w:line="221"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Contract with a Governmental Authority that involves aggregate payments or consideration (contingent or otherwise) payable (A) by any Company Entity of more than $500,000 or (B) to the Company Entity of more than $500,000, in each case, in the calendar year ended December 31, 2021 or any subsequent calendar year;</w:t>
      </w:r>
    </w:p>
    <w:p>
      <w:pPr>
        <w:spacing w:after="0" w:line="221" w:lineRule="exact"/>
        <w:rPr>
          <w:rFonts w:ascii="Times New Roman" w:cs="Times New Roman" w:eastAsia="Times New Roman" w:hAnsi="Times New Roman"/>
          <w:sz w:val="22"/>
          <w:szCs w:val="22"/>
          <w:color w:val="auto"/>
        </w:rPr>
      </w:pPr>
    </w:p>
    <w:p>
      <w:pPr>
        <w:ind w:left="1280" w:right="20" w:firstLine="652"/>
        <w:spacing w:after="0" w:line="245"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requiring capital expenditures of any Company Entity after the date hereof in an amount in excess of $500,000 in the aggregate;</w:t>
      </w:r>
    </w:p>
    <w:p>
      <w:pPr>
        <w:spacing w:after="0" w:line="222" w:lineRule="exact"/>
        <w:rPr>
          <w:rFonts w:ascii="Times New Roman" w:cs="Times New Roman" w:eastAsia="Times New Roman" w:hAnsi="Times New Roman"/>
          <w:sz w:val="22"/>
          <w:szCs w:val="22"/>
          <w:color w:val="auto"/>
        </w:rPr>
      </w:pPr>
    </w:p>
    <w:p>
      <w:pPr>
        <w:jc w:val="both"/>
        <w:ind w:left="1280" w:firstLine="652"/>
        <w:spacing w:after="0" w:line="250" w:lineRule="auto"/>
        <w:tabs>
          <w:tab w:leader="none" w:pos="25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with any Affiliate of any Company Entity or family member thereof (other than (1) employment agreements, (2) confidentiality, (3) invention assignment agreements, (4) standard director and officer indemnification agreements, (5) equity or incentive equity documents and (6) practice agreements with local management services organizations;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-16-</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20"/>
          </w:cols>
          <w:pgMar w:left="340" w:top="1413" w:right="339" w:bottom="1440" w:gutter="0" w:footer="0" w:header="0"/>
        </w:sectPr>
      </w:pPr>
    </w:p>
    <w:bookmarkStart w:id="88" w:name="page89"/>
    <w:bookmarkEnd w:id="88"/>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0"/>
          <w:szCs w:val="20"/>
          <w:color w:val="auto"/>
        </w:rPr>
        <w:t xml:space="preserve">any commitment to enter into agreement of the type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3.12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53"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3.12(b)</w:t>
      </w:r>
      <w:r>
        <w:rPr>
          <w:rFonts w:ascii="Times New Roman" w:cs="Times New Roman" w:eastAsia="Times New Roman" w:hAnsi="Times New Roman"/>
          <w:sz w:val="20"/>
          <w:szCs w:val="20"/>
          <w:color w:val="auto"/>
        </w:rPr>
        <w:t>, the Material Contracts constitute valid and legally binding obligations of the parties thereto and are enforceable in accordance with their terms, except as enforceability may be restricted, limited or delayed by applicable bankruptcy or other laws affecting creditors’ rights generally, and except as enforceability may be subject to general principles of equity, and no event, act or omission has occurred or failed to occur which, with or without the giving of notice, the lapse of time or both would constitute a material breach or default under any Material Contract by any Company Entity or, to the Company’s Knowledge, any counterparty thereto, and each Material Contract is in full force and effect. The Company Entities have provided the Buyer with full and complete copies of the Material Contracts.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III.13</w:t>
      </w:r>
      <w:r>
        <w:rPr>
          <w:sz w:val="20"/>
          <w:szCs w:val="20"/>
          <w:color w:val="auto"/>
        </w:rPr>
        <w:tab/>
      </w:r>
      <w:r>
        <w:rPr>
          <w:rFonts w:ascii="Times New Roman" w:cs="Times New Roman" w:eastAsia="Times New Roman" w:hAnsi="Times New Roman"/>
          <w:sz w:val="19"/>
          <w:szCs w:val="19"/>
          <w:b w:val="1"/>
          <w:bCs w:val="1"/>
          <w:u w:val="single" w:color="auto"/>
          <w:color w:val="auto"/>
        </w:rPr>
        <w:t>Real Property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owns any land, buildings or other real property.</w:t>
      </w:r>
    </w:p>
    <w:p>
      <w:pPr>
        <w:spacing w:after="0" w:line="22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3.13(b)</w:t>
      </w:r>
      <w:r>
        <w:rPr>
          <w:rFonts w:ascii="Times New Roman" w:cs="Times New Roman" w:eastAsia="Times New Roman" w:hAnsi="Times New Roman"/>
          <w:sz w:val="20"/>
          <w:szCs w:val="20"/>
          <w:color w:val="auto"/>
        </w:rPr>
        <w:t xml:space="preserve"> sets forth an accurate and complete list of all the real property leased by the Company Entities (together with all buildings, improvements and fixtures thereon, leased by any Company Entity, the “</w:t>
      </w:r>
      <w:r>
        <w:rPr>
          <w:rFonts w:ascii="Times New Roman" w:cs="Times New Roman" w:eastAsia="Times New Roman" w:hAnsi="Times New Roman"/>
          <w:sz w:val="20"/>
          <w:szCs w:val="20"/>
          <w:b w:val="1"/>
          <w:bCs w:val="1"/>
          <w:i w:val="1"/>
          <w:iCs w:val="1"/>
          <w:color w:val="auto"/>
        </w:rPr>
        <w:t>Leased Real 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3.13(b)</w:t>
      </w:r>
      <w:r>
        <w:rPr>
          <w:rFonts w:ascii="Times New Roman" w:cs="Times New Roman" w:eastAsia="Times New Roman" w:hAnsi="Times New Roman"/>
          <w:sz w:val="20"/>
          <w:szCs w:val="20"/>
          <w:color w:val="auto"/>
        </w:rPr>
        <w:t xml:space="preserve"> also identifies each lease related to such Leased Real Property (the “</w:t>
      </w:r>
      <w:r>
        <w:rPr>
          <w:rFonts w:ascii="Times New Roman" w:cs="Times New Roman" w:eastAsia="Times New Roman" w:hAnsi="Times New Roman"/>
          <w:sz w:val="20"/>
          <w:szCs w:val="20"/>
          <w:b w:val="1"/>
          <w:bCs w:val="1"/>
          <w:i w:val="1"/>
          <w:iCs w:val="1"/>
          <w:color w:val="auto"/>
        </w:rPr>
        <w:t>Real Property Leases</w:t>
      </w:r>
      <w:r>
        <w:rPr>
          <w:rFonts w:ascii="Times New Roman" w:cs="Times New Roman" w:eastAsia="Times New Roman" w:hAnsi="Times New Roman"/>
          <w:sz w:val="20"/>
          <w:szCs w:val="20"/>
          <w:color w:val="auto"/>
        </w:rPr>
        <w:t>”). The Real Property Leases are in full force and effect, subject to any limitations resulting from moratorium or similar Laws, and the applicable Company Entity has, to such Company Entity’s knowledge, a valid and enforceable leasehold interest in all Leased Real Property, in each case free and clear of all Encumbrances, other than Permitted Encumbrances. The Company has made available to the Buyer complete and accurate copies of each Real Property Lease, and none of such Real Property Leases have been modified in any material respect, except to the extent that such modifications are disclosed by the copies made available to the Buyer. Neither the Company nor the applicable Company Entity is in breach in any material respects of any of the Real Property Leases and, to the Company’s Knowledge, no other party to any such Real Property Leases is in material breach thereof. All of the Leased Real Property is in good operating condition and repair, subject to ordinary wear and tear (consistent with the age of such items) and is sufficient to operate in all material respects the business of the applicable Company Entity as presently operated on such Leased Real Property. To the Company’s Knowledge, no condition exists that would materially interfere with the quiet enjoyment and use of the Leased Real Property and there are presently and validly in effect all material Permits and other material authorizations necessary for the use and operation of the Leased Real Property by the applicable Company Entities as the Leased Real Property is presently being operated.</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Entities have not received any written notice of any material uncured current violations, citations, summonses, subpoenas, compliance orders, directives, suits, other legal processes, or other written notice of potential material liability under applicable zoning, building, fire and other similar applicable laws and regulations or any easements, covenants, conditions or restrictions relating to any Leased Real Property.</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III.14 </w:t>
      </w:r>
      <w:r>
        <w:rPr>
          <w:rFonts w:ascii="Times New Roman" w:cs="Times New Roman" w:eastAsia="Times New Roman" w:hAnsi="Times New Roman"/>
          <w:sz w:val="20"/>
          <w:szCs w:val="20"/>
          <w:b w:val="1"/>
          <w:bCs w:val="1"/>
          <w:u w:val="single" w:color="auto"/>
          <w:color w:val="auto"/>
        </w:rPr>
        <w:t>Title to Properties</w:t>
      </w:r>
      <w:r>
        <w:rPr>
          <w:rFonts w:ascii="Times New Roman" w:cs="Times New Roman" w:eastAsia="Times New Roman" w:hAnsi="Times New Roman"/>
          <w:sz w:val="20"/>
          <w:szCs w:val="20"/>
          <w:color w:val="auto"/>
        </w:rPr>
        <w:t>. A Company Entity has valid title to, or a valid leasehold interest in (or other right to use),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tangible personal property shown to be owned by one of the Company Entities as of the Balance Sheet Date, and as of the Closing, will be held free and clear of all Encumbrances, except for Permitted Encumbrances or assets disposed of in the ordinary course of business since the Balance Sheet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22" w:right="339" w:bottom="1440" w:gutter="0" w:footer="0" w:header="0"/>
        </w:sectPr>
      </w:pPr>
    </w:p>
    <w:bookmarkStart w:id="89" w:name="page90"/>
    <w:bookmarkEnd w:id="89"/>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III.15</w:t>
      </w:r>
      <w:r>
        <w:rPr>
          <w:sz w:val="20"/>
          <w:szCs w:val="20"/>
          <w:color w:val="auto"/>
        </w:rPr>
        <w:tab/>
      </w:r>
      <w:r>
        <w:rPr>
          <w:rFonts w:ascii="Times New Roman" w:cs="Times New Roman" w:eastAsia="Times New Roman" w:hAnsi="Times New Roman"/>
          <w:sz w:val="19"/>
          <w:szCs w:val="19"/>
          <w:b w:val="1"/>
          <w:bCs w:val="1"/>
          <w:u w:val="single" w:color="auto"/>
          <w:color w:val="auto"/>
        </w:rPr>
        <w:t>Environmental Laws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62" w:lineRule="auto"/>
        <w:tabs>
          <w:tab w:leader="none" w:pos="1934"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on </w:t>
      </w:r>
      <w:r>
        <w:rPr>
          <w:rFonts w:ascii="Times New Roman" w:cs="Times New Roman" w:eastAsia="Times New Roman" w:hAnsi="Times New Roman"/>
          <w:sz w:val="19"/>
          <w:szCs w:val="19"/>
          <w:u w:val="single" w:color="auto"/>
          <w:color w:val="auto"/>
        </w:rPr>
        <w:t>Schedule 3.15(a)</w:t>
      </w:r>
      <w:r>
        <w:rPr>
          <w:rFonts w:ascii="Times New Roman" w:cs="Times New Roman" w:eastAsia="Times New Roman" w:hAnsi="Times New Roman"/>
          <w:sz w:val="19"/>
          <w:szCs w:val="19"/>
          <w:color w:val="auto"/>
        </w:rPr>
        <w:t>, to the Company’s Knowledge, no Hazardous Materials, toxic substances or related materials have been generated, released, discharged, stored, handled or disposed of on, under, in, about or from the real property by any Company Entity, except in compliance in all material respects with all federal, state and local Laws pertaining to pollution or the protection of health, safety, the environment or natural resources or relating to Hazardous Materials (collectively, “</w:t>
      </w:r>
      <w:r>
        <w:rPr>
          <w:rFonts w:ascii="Times New Roman" w:cs="Times New Roman" w:eastAsia="Times New Roman" w:hAnsi="Times New Roman"/>
          <w:sz w:val="19"/>
          <w:szCs w:val="19"/>
          <w:b w:val="1"/>
          <w:bCs w:val="1"/>
          <w:i w:val="1"/>
          <w:iCs w:val="1"/>
          <w:color w:val="auto"/>
        </w:rPr>
        <w:t>Environmental Laws</w:t>
      </w:r>
      <w:r>
        <w:rPr>
          <w:rFonts w:ascii="Times New Roman" w:cs="Times New Roman" w:eastAsia="Times New Roman" w:hAnsi="Times New Roman"/>
          <w:sz w:val="19"/>
          <w:szCs w:val="19"/>
          <w:color w:val="auto"/>
        </w:rPr>
        <w:t>”). The term “</w:t>
      </w:r>
      <w:r>
        <w:rPr>
          <w:rFonts w:ascii="Times New Roman" w:cs="Times New Roman" w:eastAsia="Times New Roman" w:hAnsi="Times New Roman"/>
          <w:sz w:val="19"/>
          <w:szCs w:val="19"/>
          <w:b w:val="1"/>
          <w:bCs w:val="1"/>
          <w:i w:val="1"/>
          <w:iCs w:val="1"/>
          <w:color w:val="auto"/>
        </w:rPr>
        <w:t>Hazardous Materials</w:t>
      </w:r>
      <w:r>
        <w:rPr>
          <w:rFonts w:ascii="Times New Roman" w:cs="Times New Roman" w:eastAsia="Times New Roman" w:hAnsi="Times New Roman"/>
          <w:sz w:val="19"/>
          <w:szCs w:val="19"/>
          <w:color w:val="auto"/>
        </w:rPr>
        <w:t>” shall mean any substance, material or waste which is or becomes regulated by any Governmental Authority or for which liability or standards of care are imposed under any Environmental Law, including any material or substance which is (i) petroleum or a petroleum product, (ii) asbestos, (iii) polychlorinated biphenyls, (iv) biomedical materials and/or waste, including the Medical Waste Tracking Act of 1988, 42 U.S.C. §6992, et seq., and the National Institute for Occupational Self-Safety and Health Infections Waste Disposal Guidelines, Publication No. 88-119 of HHS, (v) designated as a “hazardous substance” pursuant to Section 311 of the Clean Water Act, 33 U.S.C. §1251 et seq. (33 U.S.C. §1321) or listed pursuant to Section 307 of the Clean Water Act (33 U.S.C. §1317), (vi) defined as a “hazardous waste” pursuant to Section 1004 of the Resource Conservation and Recovery Act, 42 U.S.C. §6901 et seq. (42 U.S.C. §6903), or</w:t>
      </w:r>
    </w:p>
    <w:p>
      <w:pPr>
        <w:spacing w:after="0" w:line="3" w:lineRule="exact"/>
        <w:rPr>
          <w:rFonts w:ascii="Times New Roman" w:cs="Times New Roman" w:eastAsia="Times New Roman" w:hAnsi="Times New Roman"/>
          <w:sz w:val="19"/>
          <w:szCs w:val="19"/>
          <w:color w:val="auto"/>
        </w:rPr>
      </w:pPr>
    </w:p>
    <w:p>
      <w:pPr>
        <w:ind w:left="440" w:hanging="432"/>
        <w:spacing w:after="0"/>
        <w:tabs>
          <w:tab w:leader="none" w:pos="4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as a “hazardous substance” pursuant to Section 101 of the Comprehensive Environmental Response, Compensation,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Act, 42 U.S.C. §9601 et seq. (42 U.S.C. §9601).</w:t>
      </w:r>
    </w:p>
    <w:p>
      <w:pPr>
        <w:spacing w:after="0" w:line="200" w:lineRule="exact"/>
        <w:rPr>
          <w:sz w:val="20"/>
          <w:szCs w:val="20"/>
          <w:color w:val="auto"/>
        </w:rPr>
      </w:pPr>
    </w:p>
    <w:p>
      <w:pPr>
        <w:jc w:val="both"/>
        <w:ind w:firstLine="1304"/>
        <w:spacing w:after="0" w:line="257" w:lineRule="auto"/>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3.15(b)</w:t>
      </w:r>
      <w:r>
        <w:rPr>
          <w:rFonts w:ascii="Times New Roman" w:cs="Times New Roman" w:eastAsia="Times New Roman" w:hAnsi="Times New Roman"/>
          <w:sz w:val="20"/>
          <w:szCs w:val="20"/>
          <w:color w:val="auto"/>
        </w:rPr>
        <w:t>, to the Company’s Knowledge, each Company Entity has complied in all material respects with all Environmental Laws, including those respecting the generation, handling, storage and disposition of Hazardous Materials. No Company Entity has received any written communication, notice, citation, claim, request for information or demand, whether from a Governmental Authority or any other Person, that alleges that any facility at which employees perform services on behalf of the Company Entities is not in material compliance with all Environmental Laws.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III.16</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1304"/>
        <w:spacing w:after="0" w:line="269"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in place from financially sound and reputable insurers directors and officers liability insurance (the “</w:t>
      </w:r>
      <w:r>
        <w:rPr>
          <w:rFonts w:ascii="Times New Roman" w:cs="Times New Roman" w:eastAsia="Times New Roman" w:hAnsi="Times New Roman"/>
          <w:sz w:val="20"/>
          <w:szCs w:val="20"/>
          <w:b w:val="1"/>
          <w:bCs w:val="1"/>
          <w:i w:val="1"/>
          <w:iCs w:val="1"/>
          <w:color w:val="auto"/>
        </w:rPr>
        <w:t>D&amp;O Policy</w:t>
      </w:r>
      <w:r>
        <w:rPr>
          <w:rFonts w:ascii="Times New Roman" w:cs="Times New Roman" w:eastAsia="Times New Roman" w:hAnsi="Times New Roman"/>
          <w:sz w:val="20"/>
          <w:szCs w:val="20"/>
          <w:color w:val="auto"/>
        </w:rPr>
        <w:t>”) in an amount and on terms and conditions as would be reasonable and customary for companies like the Company.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3.16</w:t>
      </w:r>
      <w:r>
        <w:rPr>
          <w:rFonts w:ascii="Times New Roman" w:cs="Times New Roman" w:eastAsia="Times New Roman" w:hAnsi="Times New Roman"/>
          <w:sz w:val="20"/>
          <w:szCs w:val="20"/>
          <w:color w:val="auto"/>
        </w:rPr>
        <w:t xml:space="preserve"> sets forth a true, correct and complete list and description of all material insurance policies, including all self-funded plans or trusts, maintained by the Company Entities (collectively, including the D&amp;O Policy, the “</w:t>
      </w:r>
      <w:r>
        <w:rPr>
          <w:rFonts w:ascii="Times New Roman" w:cs="Times New Roman" w:eastAsia="Times New Roman" w:hAnsi="Times New Roman"/>
          <w:sz w:val="20"/>
          <w:szCs w:val="20"/>
          <w:b w:val="1"/>
          <w:bCs w:val="1"/>
          <w:i w:val="1"/>
          <w:iCs w:val="1"/>
          <w:color w:val="auto"/>
        </w:rPr>
        <w:t>Insurance Policies</w:t>
      </w:r>
      <w:r>
        <w:rPr>
          <w:rFonts w:ascii="Times New Roman" w:cs="Times New Roman" w:eastAsia="Times New Roman" w:hAnsi="Times New Roman"/>
          <w:sz w:val="20"/>
          <w:szCs w:val="20"/>
          <w:color w:val="auto"/>
        </w:rPr>
        <w:t>”). The Insurance Policies are in full force and effect, and no Company Entity is in material default with respect to its obligations under any Insurance Policy, no event has occurred which, with or without notice or the lapse of time, would constitute such a breach or default or would permit termination or modification under any Insurance Policy, and no Company Entity has received any written notice of cancellation or non-renewal, of any Insurance Policy. All premiums due and payable in respect of the Insurance Policies have been paid.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III.17</w:t>
      </w:r>
      <w:r>
        <w:rPr>
          <w:sz w:val="20"/>
          <w:szCs w:val="20"/>
          <w:color w:val="auto"/>
        </w:rPr>
        <w:tab/>
      </w:r>
      <w:r>
        <w:rPr>
          <w:rFonts w:ascii="Times New Roman" w:cs="Times New Roman" w:eastAsia="Times New Roman" w:hAnsi="Times New Roman"/>
          <w:sz w:val="19"/>
          <w:szCs w:val="19"/>
          <w:b w:val="1"/>
          <w:bCs w:val="1"/>
          <w:u w:val="single" w:color="auto"/>
          <w:color w:val="auto"/>
        </w:rPr>
        <w:t>Employee Benefit Plans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61"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xml:space="preserve"> sets forth a complete and correct list of every material Employee Benefit Plan. No Company Entity or any ERISA Affiliate thereof maintains, sponsors or contributes to, or has an obligation to contribute to (i) any “multiemployer plan” (as defined in ERISA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90" w:name="page91"/>
    <w:bookmarkEnd w:id="90"/>
    <w:p>
      <w:pPr>
        <w:spacing w:after="0" w:line="283" w:lineRule="auto"/>
        <w:rPr>
          <w:sz w:val="20"/>
          <w:szCs w:val="20"/>
          <w:color w:val="auto"/>
        </w:rPr>
      </w:pPr>
      <w:r>
        <w:rPr>
          <w:rFonts w:ascii="Times New Roman" w:cs="Times New Roman" w:eastAsia="Times New Roman" w:hAnsi="Times New Roman"/>
          <w:sz w:val="20"/>
          <w:szCs w:val="20"/>
          <w:color w:val="auto"/>
        </w:rPr>
        <w:t>Sections 4001(a)(3) and 3(37)(A)), or any employee pension benefit plan subject to Title IV of ERISA or the minimum funding requirements of Section 412 or 430 of the Code.</w:t>
      </w:r>
    </w:p>
    <w:p>
      <w:pPr>
        <w:spacing w:after="0" w:line="146" w:lineRule="exact"/>
        <w:rPr>
          <w:sz w:val="20"/>
          <w:szCs w:val="20"/>
          <w:color w:val="auto"/>
        </w:rPr>
      </w:pPr>
    </w:p>
    <w:p>
      <w:pPr>
        <w:jc w:val="both"/>
        <w:ind w:firstLine="1304"/>
        <w:spacing w:after="0" w:line="252"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Company’s Knowledge, except as disclosed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xml:space="preserve">, all Employee Benefit Plans and the related trusts comply, and have been established, administered and maintained, in all material respects, with (i) their terms, (ii) the applicable provisions of ERISA, (iii) all applicable provisions of the Code relating to qualification and tax exemption under Code Sections 401(a) and 501(a) or otherwise applicable to secure tax-qualified treatment, and (iv) all applicable Laws. Except as disclosed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no Employee Benefit Plan is subject to any audit, investigation or examination by any Governmental Authority (including the IRS, Department of Labor and Pension Benefit Guaranty Corporation). Each Employee Benefit Plan that is intended to be qualified under Section 401(a) of the Code or otherwise for favorable tax treatment has (i) received a favorable determination, opinion or advisory letter from the IRS that is currently in effect and (ii) to the Knowledge of Company, nothing has occurred since the date of such letter that would reasonably be expected to adversely affect the qualified status of any such Employee Benefit Plan.</w:t>
      </w:r>
    </w:p>
    <w:p>
      <w:pPr>
        <w:spacing w:after="0" w:line="189"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maintain or sponsor any multiple employer welfare arrangement (MEWA) and has no obligation to provide any post-ownership or post-termination health or life insurance or other welfare-type benefits other than as required under COBRA or similar state law.</w:t>
      </w:r>
    </w:p>
    <w:p>
      <w:pPr>
        <w:spacing w:after="0" w:line="167"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of the agreement and the consummation of the transactions contemplated thereby will not result in any payment or benefit becoming due, increase or result in the acceleration of any payment, funding or vesting of any compensation or benefit, give rise to any payment that would not be deductible by reason of Section 280G of the Code or could constitute an “excess parachute payment” under Section 280G of the Code, or limit or restrict the right of the Company to merge, amend or terminate any employee benefit plan.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III.18</w:t>
      </w:r>
      <w:r>
        <w:rPr>
          <w:sz w:val="20"/>
          <w:szCs w:val="20"/>
          <w:color w:val="auto"/>
        </w:rPr>
        <w:tab/>
      </w:r>
      <w:r>
        <w:rPr>
          <w:rFonts w:ascii="Times New Roman" w:cs="Times New Roman" w:eastAsia="Times New Roman" w:hAnsi="Times New Roman"/>
          <w:sz w:val="19"/>
          <w:szCs w:val="19"/>
          <w:b w:val="1"/>
          <w:bCs w:val="1"/>
          <w:u w:val="single" w:color="auto"/>
          <w:color w:val="auto"/>
        </w:rPr>
        <w:t>Employee Relations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58"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or to the Company’s Knowledge, threatened employee strike, work stoppage, work slowdown, lock-out or labor dispute concerning any employees, representatives or agents of the Company Entities. There are no labor unions, collective bargaining agreements, or other agreements with any labor union, works council, or other labor organization representing any employees, representatives or agents of the Company Entities.</w:t>
      </w:r>
    </w:p>
    <w:p>
      <w:pPr>
        <w:spacing w:after="0" w:line="172"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3.18(b)</w:t>
      </w:r>
      <w:r>
        <w:rPr>
          <w:rFonts w:ascii="Times New Roman" w:cs="Times New Roman" w:eastAsia="Times New Roman" w:hAnsi="Times New Roman"/>
          <w:sz w:val="20"/>
          <w:szCs w:val="20"/>
          <w:color w:val="auto"/>
        </w:rPr>
        <w:t xml:space="preserve">, each Company Entity is, and for the past two (2) years has been, in material compliance with all applicable Laws respecting employment and employment practices and terms and conditions of employment concerning any employees, representatives or agents of the Company Entities, including all Laws which relate to traditional labor, labor relations and collective bargaining, terms and conditions of employment, wages and wage payments, hours and employee record keeping, fair employment practices, equal employment opportunity practices (such as discrimination in employment, disability rights or benefits, and reasonable accommodations), employee leave issues, immigration (including applicable I-9 Laws), occupational safety and health, plant closings, withholding of Taxes, workers’ compensation, and unemployment insurance. Except as set forth on </w:t>
      </w:r>
      <w:r>
        <w:rPr>
          <w:rFonts w:ascii="Times New Roman" w:cs="Times New Roman" w:eastAsia="Times New Roman" w:hAnsi="Times New Roman"/>
          <w:sz w:val="20"/>
          <w:szCs w:val="20"/>
          <w:u w:val="single" w:color="auto"/>
          <w:color w:val="auto"/>
        </w:rPr>
        <w:t>Schedule 3.18(b)</w:t>
      </w:r>
      <w:r>
        <w:rPr>
          <w:rFonts w:ascii="Times New Roman" w:cs="Times New Roman" w:eastAsia="Times New Roman" w:hAnsi="Times New Roman"/>
          <w:sz w:val="20"/>
          <w:szCs w:val="20"/>
          <w:color w:val="auto"/>
        </w:rPr>
        <w:t>, there are no pending or, to the Company’s Knowledge, threatened claims or investigations in respect of any such Laws in respect of the employees, representatives or agents of the Company Entities (including any employment discrimination charge or employment-related multi-claimant or class action claims).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1304"/>
        <w:spacing w:after="0" w:line="261"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No material employee layoff, facility closure or shutdown, reduction-in-force, furlough, temporary layoff, material work schedule change, or material reduction in hours, salary or wages affecting employees of any Company Entity has occurred in the last twelve months or is currently contemplated, planned or announced.</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III.19 </w:t>
      </w:r>
      <w:r>
        <w:rPr>
          <w:rFonts w:ascii="Times New Roman" w:cs="Times New Roman" w:eastAsia="Times New Roman" w:hAnsi="Times New Roman"/>
          <w:sz w:val="20"/>
          <w:szCs w:val="20"/>
          <w:b w:val="1"/>
          <w:bCs w:val="1"/>
          <w:u w:val="single" w:color="auto"/>
          <w:color w:val="auto"/>
        </w:rPr>
        <w:t>Litigation and Proceedings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a complete and accurate list of all Actions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Entities that are pending or, to the Company’s Knowledge, threatened against any Company Entity, or any governing persons thereof in their capacities as such, with respect to the Company Entities, at law or in equity, or before or by (or on behalf of) any Governmental Authority that (a) would reasonably be expected to involve an amount in controversy of at least $300,000 or (b) would reasonably be expected to result in a Material Adverse Change. There is no Action pending or, to the Company’s Knowledge threatened, against any Company Entity, or any governing Persons thereof, at law or in equity, or before or by any Governmental Authority, which seeks to prevent or delay consummation of the transactions contemplated herein, seeks damages in connection with transactions contemplated herein or would impair the ability of the Company to perform its obligations under this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III.20</w:t>
      </w:r>
      <w:r>
        <w:rPr>
          <w:sz w:val="20"/>
          <w:szCs w:val="20"/>
          <w:color w:val="auto"/>
        </w:rPr>
        <w:tab/>
      </w:r>
      <w:r>
        <w:rPr>
          <w:rFonts w:ascii="Times New Roman" w:cs="Times New Roman" w:eastAsia="Times New Roman" w:hAnsi="Times New Roman"/>
          <w:sz w:val="19"/>
          <w:szCs w:val="19"/>
          <w:b w:val="1"/>
          <w:bCs w:val="1"/>
          <w:u w:val="single" w:color="auto"/>
          <w:color w:val="auto"/>
        </w:rPr>
        <w:t>Reimbursement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2"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Company Entity, as applicable, is certified to participate in the Government Reimbursement Programs with valid and current provider or supplier agreements under such Programs. Except as set forth on </w:t>
      </w:r>
      <w:r>
        <w:rPr>
          <w:rFonts w:ascii="Times New Roman" w:cs="Times New Roman" w:eastAsia="Times New Roman" w:hAnsi="Times New Roman"/>
          <w:sz w:val="20"/>
          <w:szCs w:val="20"/>
          <w:u w:val="single" w:color="auto"/>
          <w:color w:val="auto"/>
        </w:rPr>
        <w:t>Schedule 3.20(a)</w:t>
      </w:r>
      <w:r>
        <w:rPr>
          <w:rFonts w:ascii="Times New Roman" w:cs="Times New Roman" w:eastAsia="Times New Roman" w:hAnsi="Times New Roman"/>
          <w:sz w:val="20"/>
          <w:szCs w:val="20"/>
          <w:color w:val="auto"/>
        </w:rPr>
        <w:t xml:space="preserve">, each Company Entity is in compliance in all material respects with the terms and conditions of participation in the Government Reimbursement Programs and are not subject to any pending or, to the Company’s Knowledge, threatened Actions with respect to participation in such programs, other than routine audits. Except as set forth on </w:t>
      </w:r>
      <w:r>
        <w:rPr>
          <w:rFonts w:ascii="Times New Roman" w:cs="Times New Roman" w:eastAsia="Times New Roman" w:hAnsi="Times New Roman"/>
          <w:sz w:val="20"/>
          <w:szCs w:val="20"/>
          <w:u w:val="single" w:color="auto"/>
          <w:color w:val="auto"/>
        </w:rPr>
        <w:t>Schedule 3.20(a)</w:t>
      </w:r>
      <w:r>
        <w:rPr>
          <w:rFonts w:ascii="Times New Roman" w:cs="Times New Roman" w:eastAsia="Times New Roman" w:hAnsi="Times New Roman"/>
          <w:sz w:val="20"/>
          <w:szCs w:val="20"/>
          <w:color w:val="auto"/>
        </w:rPr>
        <w:t>, since January 1, 2021, no audits, coding validation review or program integrity review, credentialing or privileging review or other audits or reviews other than in the ordinary course have been conducted by any Government Reimbursement Program or Third Party Payor, and no such reviews, other than those conducted in the ordinary course, are scheduled, pending (for which the Company Entity, as applicable, has received written notice) or, to the Company’s Knowledge, threatened against or affecting the Company Entity, as applicable.</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January 1, 2021, each Company Entity has filed all Cost Reports in respect of the Businesses, and such reports accurately reflect, in all respects, the information to be included thereon, and have been audited (with Notices of Program Reimbursement issued). Except as set forth on </w:t>
      </w:r>
      <w:r>
        <w:rPr>
          <w:rFonts w:ascii="Times New Roman" w:cs="Times New Roman" w:eastAsia="Times New Roman" w:hAnsi="Times New Roman"/>
          <w:sz w:val="20"/>
          <w:szCs w:val="20"/>
          <w:u w:val="single" w:color="auto"/>
          <w:color w:val="auto"/>
        </w:rPr>
        <w:t>Schedule 3.20(b)</w:t>
      </w:r>
      <w:r>
        <w:rPr>
          <w:rFonts w:ascii="Times New Roman" w:cs="Times New Roman" w:eastAsia="Times New Roman" w:hAnsi="Times New Roman"/>
          <w:sz w:val="20"/>
          <w:szCs w:val="20"/>
          <w:color w:val="auto"/>
        </w:rPr>
        <w:t>, there are no pending material Actions, adjustments or audits relating to such Cost Reports. To the Company’s Knowledge, no Company Entity is subject to any pending but unassessed Government Reimbursement Program claim payment adjustments arising from the Businesses, except to the extent such Company Entity has established reserves for such adjustments in accordance with such Company Entity’s accounting policy for establishing any such reserves and that are reflected on the Financial Statements.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3.20(c)</w:t>
      </w:r>
      <w:r>
        <w:rPr>
          <w:rFonts w:ascii="Times New Roman" w:cs="Times New Roman" w:eastAsia="Times New Roman" w:hAnsi="Times New Roman"/>
          <w:sz w:val="20"/>
          <w:szCs w:val="20"/>
          <w:color w:val="auto"/>
        </w:rPr>
        <w:t xml:space="preserve">, all amounts shown as due from any Company Entity in the Cost Reports either were remitted with such Cost Reports or will be remitted when required by Law, and all amounts shown in any Notices of Program Reimbursement as due have been or prior to Closing will be paid when required by Law. Except as set forth in as set forth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3.20(c)</w:t>
      </w:r>
      <w:r>
        <w:rPr>
          <w:rFonts w:ascii="Times New Roman" w:cs="Times New Roman" w:eastAsia="Times New Roman" w:hAnsi="Times New Roman"/>
          <w:sz w:val="20"/>
          <w:szCs w:val="20"/>
          <w:color w:val="auto"/>
        </w:rPr>
        <w:t>, no Company Entity has received any overpayments from, nor to the Company’s Knowledge does any Company Entity owe any outstanding refunds, overpayments, discounts or adjustments to, any Government Reimbursement Program or Third Party Payor, aside from refunds, overpayments, discounts,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and adjustments that occur in the ordinary course or that otherwise are not material in amount (or exceed amounts in excess of $100,000). Other than as set forth in </w:t>
      </w:r>
      <w:r>
        <w:rPr>
          <w:rFonts w:ascii="Times New Roman" w:cs="Times New Roman" w:eastAsia="Times New Roman" w:hAnsi="Times New Roman"/>
          <w:sz w:val="20"/>
          <w:szCs w:val="20"/>
          <w:u w:val="single" w:color="auto"/>
          <w:color w:val="auto"/>
        </w:rPr>
        <w:t>Schedule 3.20(c)</w:t>
      </w:r>
      <w:r>
        <w:rPr>
          <w:rFonts w:ascii="Times New Roman" w:cs="Times New Roman" w:eastAsia="Times New Roman" w:hAnsi="Times New Roman"/>
          <w:sz w:val="20"/>
          <w:szCs w:val="20"/>
          <w:color w:val="auto"/>
        </w:rPr>
        <w:t>, there are no pending or, to the Company’s Knowledge, threatened Actions, appeals, adjustments, challenges, audits, investigations, litigation or written notices of intent to audit any Company Entity with respect to any Cost Reports or any billing required to be filed with respect to any Government Reimbursement Program where the amount in dispute is in excess of $10,000. Other than in connection with the adjudication of billings made in the ordinary course, no Company Entity has received any written notice from any Governmental Authority or any Government Reimbursement Program of any threatened or pending material (individually or in the aggregate), recoupment, or set-off under any Government Reimbursement Program. To the Company’s Knowledge, no Company Entity is currently subject to, or since January 1, 2021 has been subjected to, any material pre-payment integrity review by any Government Reimbursement Program arising from or relating to the Business.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III.21</w:t>
      </w:r>
      <w:r>
        <w:rPr>
          <w:sz w:val="20"/>
          <w:szCs w:val="20"/>
          <w:color w:val="auto"/>
        </w:rPr>
        <w:tab/>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50" w:lineRule="auto"/>
        <w:tabs>
          <w:tab w:leader="none" w:pos="193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3.21</w:t>
      </w:r>
      <w:r>
        <w:rPr>
          <w:rFonts w:ascii="Times New Roman" w:cs="Times New Roman" w:eastAsia="Times New Roman" w:hAnsi="Times New Roman"/>
          <w:sz w:val="20"/>
          <w:szCs w:val="20"/>
          <w:color w:val="auto"/>
        </w:rPr>
        <w:t xml:space="preserve"> sets forth a true, correct and complete list of all: (i) Intellectual Property that is currently registered, issued or subject to a pending application for registration or issuance before any Governmental Authority (collectively, “</w:t>
      </w:r>
      <w:r>
        <w:rPr>
          <w:rFonts w:ascii="Times New Roman" w:cs="Times New Roman" w:eastAsia="Times New Roman" w:hAnsi="Times New Roman"/>
          <w:sz w:val="20"/>
          <w:szCs w:val="20"/>
          <w:b w:val="1"/>
          <w:bCs w:val="1"/>
          <w:i w:val="1"/>
          <w:iCs w:val="1"/>
          <w:color w:val="auto"/>
        </w:rPr>
        <w:t>Company Registered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IP</w:t>
      </w:r>
      <w:r>
        <w:rPr>
          <w:rFonts w:ascii="Times New Roman" w:cs="Times New Roman" w:eastAsia="Times New Roman" w:hAnsi="Times New Roman"/>
          <w:sz w:val="20"/>
          <w:szCs w:val="20"/>
          <w:color w:val="auto"/>
        </w:rPr>
        <w:t>”), (ii) material unregistered trademarks and (iii) material proprietary software, in each case of clauses (i)-(iii) above that is owned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purported to be owned (whether exclusively, jointly with any other Person, or otherwise) by any Company Entity and included in the Company IP. Each item of Company Registered IP is valid (or in the case of applications, applied for), subsisting, and enforceable. All registration, maintenance and renewal fees in connection with such Company Registered IP that are or shall be due for payment on or before the Closing have been or shall be timely paid and all documents, recordations and certificates in connection with such Company Registered IP that are or shall be due for filing on or before the Closing have been or shall be timely filed with the relevant patent, copyright, trademark or other authorities in the United States or foreign jurisdictions, as the case may be, for the purposes of prosecuting, maintaining and perfecting such Company Registered IP and recording the applicable Company Entity’s ownership interests therein. A Company Entity is the record owner of all Company Registered IP.</w:t>
      </w:r>
    </w:p>
    <w:p>
      <w:pPr>
        <w:spacing w:after="0" w:line="186" w:lineRule="exact"/>
        <w:rPr>
          <w:rFonts w:ascii="Times New Roman" w:cs="Times New Roman" w:eastAsia="Times New Roman" w:hAnsi="Times New Roman"/>
          <w:sz w:val="20"/>
          <w:szCs w:val="20"/>
          <w:color w:val="auto"/>
        </w:rPr>
      </w:pPr>
    </w:p>
    <w:p>
      <w:pPr>
        <w:jc w:val="both"/>
        <w:ind w:firstLine="1304"/>
        <w:spacing w:after="0" w:line="267" w:lineRule="auto"/>
        <w:tabs>
          <w:tab w:leader="none" w:pos="193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Company Entity has jointly developed any Company IP with any other Person with respect to which such other Person has retained any rights in the developed subject matter. Without limiting the generality of the foregoing, each founder, consultant, advisor, employee and independent contractor who independently or jointly contributed to or participated in the conception, reduction to practice, creation or development of any Company Intellectual Property for or on behalf of a Company Entity (each an “</w:t>
      </w:r>
      <w:r>
        <w:rPr>
          <w:rFonts w:ascii="Times New Roman" w:cs="Times New Roman" w:eastAsia="Times New Roman" w:hAnsi="Times New Roman"/>
          <w:sz w:val="19"/>
          <w:szCs w:val="19"/>
          <w:b w:val="1"/>
          <w:bCs w:val="1"/>
          <w:i w:val="1"/>
          <w:iCs w:val="1"/>
          <w:color w:val="auto"/>
        </w:rPr>
        <w:t>Author</w:t>
      </w:r>
      <w:r>
        <w:rPr>
          <w:rFonts w:ascii="Times New Roman" w:cs="Times New Roman" w:eastAsia="Times New Roman" w:hAnsi="Times New Roman"/>
          <w:sz w:val="19"/>
          <w:szCs w:val="19"/>
          <w:color w:val="auto"/>
        </w:rPr>
        <w:t>”), has either</w:t>
      </w:r>
    </w:p>
    <w:p>
      <w:pPr>
        <w:spacing w:after="0" w:line="1" w:lineRule="exact"/>
        <w:rPr>
          <w:rFonts w:ascii="Times New Roman" w:cs="Times New Roman" w:eastAsia="Times New Roman" w:hAnsi="Times New Roman"/>
          <w:sz w:val="19"/>
          <w:szCs w:val="19"/>
          <w:color w:val="auto"/>
        </w:rPr>
      </w:pPr>
    </w:p>
    <w:p>
      <w:pPr>
        <w:jc w:val="both"/>
        <w:ind w:firstLine="8"/>
        <w:spacing w:after="0" w:line="250" w:lineRule="auto"/>
        <w:tabs>
          <w:tab w:leader="none" w:pos="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to a Company Entity “work-for-hire” agreement under which the applicable Company Entity is deemed to be the owner or author of all Company IP created or developed by such Author, or (ii) assigned to that Company Entity, either via operation of law or through a valid, enforceable written agreement (A) all such Author’s rights, title and interest in and to the resulting Intellectual Property, (B) a valid and enforceable waiver of all non-assignable rights in and to such Intellectual Property, and (C) customary confidentiality provisions protecting the rights of that Company Entity in trade secrets and other Company proprietary information (such agreements “</w:t>
      </w:r>
      <w:r>
        <w:rPr>
          <w:rFonts w:ascii="Times New Roman" w:cs="Times New Roman" w:eastAsia="Times New Roman" w:hAnsi="Times New Roman"/>
          <w:sz w:val="20"/>
          <w:szCs w:val="20"/>
          <w:b w:val="1"/>
          <w:bCs w:val="1"/>
          <w:i w:val="1"/>
          <w:iCs w:val="1"/>
          <w:color w:val="auto"/>
        </w:rPr>
        <w:t>Personnel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Agreements</w:t>
      </w:r>
      <w:r>
        <w:rPr>
          <w:rFonts w:ascii="Times New Roman" w:cs="Times New Roman" w:eastAsia="Times New Roman" w:hAnsi="Times New Roman"/>
          <w:sz w:val="20"/>
          <w:szCs w:val="20"/>
          <w:color w:val="auto"/>
        </w:rPr>
        <w:t>”). The Company Entities are in compliance in all material respects with the provisions of the Personnel Agreements.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Knowledge, it will not be necessary to use any inventions of any of its employees or consultants (or persons it currently intends to hire) made prior to their employment by the Company, including prior employees or consultants, or academic or medical institutions with which any of them may be affiliated now or may have been affiliated in the past.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3" w:name="page94"/>
    <w:bookmarkEnd w:id="93"/>
    <w:p>
      <w:pPr>
        <w:jc w:val="both"/>
        <w:ind w:left="-8" w:firstLine="1304"/>
        <w:spacing w:after="0" w:line="258" w:lineRule="auto"/>
        <w:tabs>
          <w:tab w:leader="none" w:pos="192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Intellectual Property used by the Company Entities and the operation of the Businesses has not and does not infringe (directly or indirectly, including via contribution or inducement), misappropriate or otherwise violate the Intellectual Property of any third party. No Company Entity has been sued in any Action or received any written charge, complaint, demand, notice or other communication alleging any such infringement, misappropriation or other violation.</w:t>
      </w:r>
    </w:p>
    <w:p>
      <w:pPr>
        <w:spacing w:after="0" w:line="172" w:lineRule="exact"/>
        <w:rPr>
          <w:rFonts w:ascii="Times New Roman" w:cs="Times New Roman" w:eastAsia="Times New Roman" w:hAnsi="Times New Roman"/>
          <w:sz w:val="20"/>
          <w:szCs w:val="20"/>
          <w:color w:val="auto"/>
        </w:rPr>
      </w:pPr>
    </w:p>
    <w:p>
      <w:pPr>
        <w:jc w:val="both"/>
        <w:ind w:left="-8" w:firstLine="1304"/>
        <w:spacing w:after="0" w:line="253" w:lineRule="auto"/>
        <w:tabs>
          <w:tab w:leader="none" w:pos="1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there is no unauthorized use, unauthorized disclosure, infringement, misappropriation or other violation of any Company IP by any third party. No Company Entity has brought any Action against any other Person or sent any notices to any other Person regarding the unauthorized use, unauthorized disclosure, infringement, misappropriation or other violation of any Company IP by such Person. The Company Entities use their respective best efforts to protect and maintain the Company IP. No Company IP is subject to any Action, settlement agreement or right that restricts in any manner the use, transfer or license thereof by any Company Entity, or that may affect the validity, use or enforceability of any Company IP.</w:t>
      </w:r>
    </w:p>
    <w:p>
      <w:pPr>
        <w:spacing w:after="0" w:line="192" w:lineRule="exact"/>
        <w:rPr>
          <w:rFonts w:ascii="Times New Roman" w:cs="Times New Roman" w:eastAsia="Times New Roman" w:hAnsi="Times New Roman"/>
          <w:sz w:val="20"/>
          <w:szCs w:val="20"/>
          <w:color w:val="auto"/>
        </w:rPr>
      </w:pPr>
    </w:p>
    <w:p>
      <w:pPr>
        <w:jc w:val="both"/>
        <w:ind w:left="-8" w:firstLine="1304"/>
        <w:spacing w:after="0" w:line="264" w:lineRule="auto"/>
        <w:tabs>
          <w:tab w:leader="none" w:pos="1926"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execution and performance of this Agreement and the consummation of the transactions contemplated hereby will with or without notice or lapse of time, result in or give any other Person the right or option to cause or declare: (i) a loss of, or Encumbrance on, any Company IP or any other Intellectual Property owned by, or licensed to, any Company Entity; (ii) any grant, assignment, or transfer to any third Person of any license, right, or interest in, to, under, or with respect to any Company IP or any other Intellectual Property owned by, or licensed to, any Company Entity; (iii) any Company Entity being bound by or subject to any exclusivity obligations, non-compete or other restriction on the operation or scope of their respective businesses or any most-favored-nations obligations;</w:t>
      </w:r>
    </w:p>
    <w:p>
      <w:pPr>
        <w:spacing w:after="0" w:line="4" w:lineRule="exact"/>
        <w:rPr>
          <w:rFonts w:ascii="Times New Roman" w:cs="Times New Roman" w:eastAsia="Times New Roman" w:hAnsi="Times New Roman"/>
          <w:sz w:val="19"/>
          <w:szCs w:val="19"/>
          <w:color w:val="auto"/>
        </w:rPr>
      </w:pPr>
    </w:p>
    <w:p>
      <w:pPr>
        <w:jc w:val="both"/>
        <w:ind w:left="-8" w:firstLine="8"/>
        <w:spacing w:after="0" w:line="248" w:lineRule="auto"/>
        <w:tabs>
          <w:tab w:leader="none" w:pos="3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for any Company Entity to offer any discount or be bound by any “most favored pricing” terms under any Contract to which that Company Entity is a party or bound; (v) any Company Entity being obligated to pay any royalties or other material amounts to any third party in excess of those payable by any of them, respectively, in the absence of this Agreement the transactions contemplated hereby; or (vi) any termination of, or other material impact to, any Company IP.</w:t>
      </w:r>
    </w:p>
    <w:p>
      <w:pPr>
        <w:spacing w:after="0" w:line="195" w:lineRule="exact"/>
        <w:rPr>
          <w:rFonts w:ascii="Times New Roman" w:cs="Times New Roman" w:eastAsia="Times New Roman" w:hAnsi="Times New Roman"/>
          <w:sz w:val="20"/>
          <w:szCs w:val="20"/>
          <w:color w:val="auto"/>
        </w:rPr>
      </w:pPr>
    </w:p>
    <w:p>
      <w:pPr>
        <w:jc w:val="both"/>
        <w:ind w:left="-8" w:firstLine="1304"/>
        <w:spacing w:after="0" w:line="252" w:lineRule="auto"/>
        <w:tabs>
          <w:tab w:leader="none" w:pos="1931"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Entity have taken all commercially reasonable steps to protect and preserve the confidentiality of all confidential or non-public information of any Company Entity (including trade secrets) as well as any confidential information provided by any third party to any Company Entity (collectively,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To the Company’s Knowledge, no Company Entity has experienced any breach of security or other unauthorized access by third parties to any Confidential Information, including Personal Information in that Company Entity’s possession, custody or control. The Company is and has been since January 1, 2021, in compliance in all material respects with (i) all applicable laws relating to privacy, data security, telephone and text message communications, and marketing by email or other channels, including the applicable requirements of HIPAA, (ii) the Company’s privacy policies and public written statements regarding the Company’s privacy or data security practices, and (iii) the requirements of any contract codes of conduct or industry standards, by which the Company is bound.</w:t>
      </w:r>
    </w:p>
    <w:p>
      <w:pPr>
        <w:spacing w:after="0" w:line="175" w:lineRule="exact"/>
        <w:rPr>
          <w:rFonts w:ascii="Times New Roman" w:cs="Times New Roman" w:eastAsia="Times New Roman" w:hAnsi="Times New Roman"/>
          <w:sz w:val="20"/>
          <w:szCs w:val="20"/>
          <w:color w:val="auto"/>
        </w:rPr>
      </w:pPr>
    </w:p>
    <w:p>
      <w:pPr>
        <w:jc w:val="both"/>
        <w:ind w:left="-8" w:firstLine="1304"/>
        <w:spacing w:after="0" w:line="253" w:lineRule="auto"/>
        <w:tabs>
          <w:tab w:leader="none" w:pos="192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ICT Infrastructure (including its operation and maintenance and any amendments or modifications thereto) will not be adversely affected by the transactions contemplated hereby, and the ICT Infrastructure will continue to be available for use by the Company Entities immediately following the consummation of the transactions contemplated hereby and thereafter on substantially the same terms and conditions as prevailed immediately before the Closing, without further action or payment. No Company Entity has experienced any circumstances, and to the Company’s Knowledge no circumstances exist that are likely or expected to give rise to, any disruption in or to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20"/>
          <w:szCs w:val="20"/>
          <w:color w:val="auto"/>
        </w:rPr>
        <w:t>-22-</w:t>
      </w:r>
    </w:p>
    <w:p>
      <w:pPr>
        <w:spacing w:after="0" w:line="72" w:lineRule="exact"/>
        <w:rPr>
          <w:sz w:val="20"/>
          <w:szCs w:val="20"/>
          <w:color w:val="auto"/>
        </w:rPr>
      </w:pPr>
    </w:p>
    <w:p>
      <w:pPr>
        <w:ind w:left="12"/>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32"/>
          </w:cols>
          <w:pgMar w:left="328" w:top="1413" w:right="339" w:bottom="1440" w:gutter="0" w:footer="0" w:header="0"/>
        </w:sectPr>
      </w:pPr>
    </w:p>
    <w:bookmarkStart w:id="94" w:name="page95"/>
    <w:bookmarkEnd w:id="94"/>
    <w:p>
      <w:pPr>
        <w:jc w:val="both"/>
        <w:spacing w:after="0" w:line="253" w:lineRule="auto"/>
        <w:rPr>
          <w:sz w:val="20"/>
          <w:szCs w:val="20"/>
          <w:color w:val="auto"/>
        </w:rPr>
      </w:pPr>
      <w:r>
        <w:rPr>
          <w:rFonts w:ascii="Times New Roman" w:cs="Times New Roman" w:eastAsia="Times New Roman" w:hAnsi="Times New Roman"/>
          <w:sz w:val="20"/>
          <w:szCs w:val="20"/>
          <w:color w:val="auto"/>
        </w:rPr>
        <w:t>operation of the Businesses as a result of: (A) any substandard performance or defect in any part of the ICT Infrastructure or (B) a breach of security in relation to the ICT Infrastructure. The ICT Infrastructure that is currently used in the Businesses constitutes all the information and communications technology and other systems infrastructure reasonably necessary for the immediate and anticipated needs of such Businesses. The ICT Infrastructure is in good working order and functions in accordance with all applicable documentation and specifications.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III.22</w:t>
      </w:r>
      <w:r>
        <w:rPr>
          <w:sz w:val="20"/>
          <w:szCs w:val="20"/>
          <w:color w:val="auto"/>
        </w:rPr>
        <w:tab/>
      </w:r>
      <w:r>
        <w:rPr>
          <w:rFonts w:ascii="Times New Roman" w:cs="Times New Roman" w:eastAsia="Times New Roman" w:hAnsi="Times New Roman"/>
          <w:sz w:val="19"/>
          <w:szCs w:val="19"/>
          <w:b w:val="1"/>
          <w:bCs w:val="1"/>
          <w:u w:val="single" w:color="auto"/>
          <w:color w:val="auto"/>
        </w:rPr>
        <w:t>Tax Matters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1304"/>
        <w:spacing w:after="0" w:line="248"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of the Company Entities has (i) timely filed with the appropriate Taxing Authority all income and other material Tax Returns that are required to be filed by it in accordance with all applicable Laws and all such Tax Returns are true, correct and complete in all material respects, (ii) timely paid to the appropriate Taxing Authority all material amounts of Taxes due and payable, whether or not such Taxes are shown as due and payable on any Tax Return, and (iii) correctly withheld and timely paid over to the appropriate Taxing Authority all material amounts of Taxes that it is required to withhold from amounts paid or owing to any employee, independent contract, creditor, stockholder, member, or other Person.</w:t>
      </w:r>
    </w:p>
    <w:p>
      <w:pPr>
        <w:spacing w:after="0" w:line="184" w:lineRule="exact"/>
        <w:rPr>
          <w:sz w:val="20"/>
          <w:szCs w:val="20"/>
          <w:color w:val="auto"/>
        </w:rPr>
      </w:pPr>
    </w:p>
    <w:p>
      <w:pPr>
        <w:jc w:val="both"/>
        <w:ind w:firstLine="1304"/>
        <w:spacing w:after="0" w:line="253"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Taxes not yet due and payable owed by or with respect to, as the case may be, each Company Entity: (i) did not, as of the Balance Sheet Date, exceed the reserve for Tax liability (rather than any reserve for deferred Taxes established to reflect timing differences between book and Tax income) set forth on the face of the Financial Statements, and (ii) do not exceed that reserve as adjusted for the passage of time through the Effective Date in accordance with the past custom and practice of any Company Entity in filing its Tax Returns. Since the Balance Sheet Date, no Company Entity has incurred any material liability for Taxes outside the ordinary course of business and all Taxes not yet due and payable for a taxable period (or portion thereof) ending on the Effective Date have been accrued, adequately disclosed and fully provided for in accordance with GAAP on the Financial Statements provided to the Buyer.</w:t>
      </w:r>
    </w:p>
    <w:p>
      <w:pPr>
        <w:spacing w:after="0" w:line="17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 has waived any statute of limitations in respect of Taxes or agreed to any extension of time with respect to any Tax assessment or deficiency, which waiver or extension has continuing effect; or (ii) is currently the beneficiary of any extension of time within which to file any Tax Return (other than extensions obtained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Taxing Authority has asserted in writing that any Company Entity is responsible for the payment of any additional Taxes for any period. There have been no examinations or audits of any Tax Returns or reports of, or relating to, any Company Entity by any Taxing Authority.</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Encumbrances for Taxes upon any of the assets or properties of any Company Entity, except for Permitted Encumbrances.</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Company Entity is a party to any Tax allocation or Tax sharing agreement (other than any such agreement entered into in the ordinary course of business the primary purpose of which is not related to Taxes). Except as set forth on </w:t>
      </w:r>
      <w:r>
        <w:rPr>
          <w:rFonts w:ascii="Times New Roman" w:cs="Times New Roman" w:eastAsia="Times New Roman" w:hAnsi="Times New Roman"/>
          <w:sz w:val="20"/>
          <w:szCs w:val="20"/>
          <w:u w:val="single" w:color="auto"/>
          <w:color w:val="auto"/>
        </w:rPr>
        <w:t>Schedule 3.22(e)</w:t>
      </w:r>
      <w:r>
        <w:rPr>
          <w:rFonts w:ascii="Times New Roman" w:cs="Times New Roman" w:eastAsia="Times New Roman" w:hAnsi="Times New Roman"/>
          <w:sz w:val="20"/>
          <w:szCs w:val="20"/>
          <w:color w:val="auto"/>
        </w:rPr>
        <w:t>, no Company Entity has (i) been a member of an Affiliated Group filing a consolidated federal Tax Return, other than an Affiliated Group the common parent of which is the Company, or (ii) has liability for Taxes of any other Person under Treasury Regulations Section 1.1502-6 (or any similar provision of non-U.S., state, or local law), as a transferee or successor, by Contract or otherwise (other than pursuant to any agreement entered into in the ordinary course of business the primary purpose of which is not related to Taxes).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1304"/>
        <w:spacing w:after="0" w:line="261" w:lineRule="auto"/>
        <w:tabs>
          <w:tab w:leader="none" w:pos="193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assets of the Company and its subsidiaries that are “Section 197 intangibles,” within the meaning of Section 197(d) of the Code were created after August 10, 1993, and are not subject to the anti-churning rules under Section 197(f)(9) of the Code and Section 1.197-2(h) of the Treasury Regulations.</w:t>
      </w:r>
    </w:p>
    <w:p>
      <w:pPr>
        <w:spacing w:after="0" w:line="181" w:lineRule="exact"/>
        <w:rPr>
          <w:rFonts w:ascii="Times New Roman" w:cs="Times New Roman" w:eastAsia="Times New Roman" w:hAnsi="Times New Roman"/>
          <w:sz w:val="20"/>
          <w:szCs w:val="20"/>
          <w:color w:val="auto"/>
        </w:rPr>
      </w:pPr>
    </w:p>
    <w:p>
      <w:pPr>
        <w:jc w:val="both"/>
        <w:ind w:firstLine="1304"/>
        <w:spacing w:after="0" w:line="266" w:lineRule="auto"/>
        <w:tabs>
          <w:tab w:leader="none" w:pos="19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Entities use the accrual method of accounting for Tax purposes. No Company Entity will be required to include any item of income in, or exclude any item of deduction from, taxable income for any taxable period (or portion thereof) beginning after the Effective Date as a result of any: (i) “closing agreement” as described in Section 7121 of the Code (or any corresponding provision of applicable income Tax Law); (ii) installment sale or open transaction disposition made on or prior to the Effective Date; (iii) deferred revenue or prepaid amount received on or prior to the Effective Date; (iv) “intercompany transaction” or “excess loss account” described in the Treasury Regulations under Section 1502 of the Code (or any corresponding or similar provision of any other Tax Law) entered into or existing, respectively, on or prior to the Effective Date; (v) change in method of accounting for a taxable period ending on or prior to the Effective Date; (vi) election pursuant to Section 965 or Section 59A of the Code; or (vii) income inclusion pursuant to Section 951 or Section 951A of the Code with respect to a taxable period (or portion thereof) ending on or prior to the Effective Date.</w:t>
      </w:r>
    </w:p>
    <w:p>
      <w:pPr>
        <w:spacing w:after="0" w:line="169"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been the “distributing corporation” (within the meaning of Section 355(a)(1) of the Code) or the “controlled corporation” (within the meaning of Section 355(a)(1) of the Code) (i) within the three (3)-year period ending as of the Effective Date or (ii) in a distribution that could otherwise constitute part of a “plan” or “series of transactions” (within the meaning of Section 355(e) of the Code) in conjunction with this Agreement.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and has always been from the date of its formation, properly treated as a corporation taxed under Subchapter C of the Code for U.S. federal and all other applicable income Tax purposes. Each other Company Entity is a partnership or disregarded as an entity separate from its owner for U.S. federal and all other applicable income Tax purposes, except American Oncology Partners, PA and American Oncology Partners of Maryland, PA, which are variable interest entities of the Company and are corporations for U.S. federal and all other applicable income Tax purposes. No Company Entity has any liability on account of an “imputed underpayment” of Taxes within the meaning of Section 6225 of the Code.</w:t>
      </w:r>
    </w:p>
    <w:p>
      <w:pPr>
        <w:spacing w:after="0" w:line="19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Company Entities that are classified as “disregarded entities” in accordance with Section 301.7701-3(b)</w:t>
      </w:r>
    </w:p>
    <w:p>
      <w:pPr>
        <w:spacing w:after="0" w:line="28" w:lineRule="exact"/>
        <w:rPr>
          <w:rFonts w:ascii="Times New Roman" w:cs="Times New Roman" w:eastAsia="Times New Roman" w:hAnsi="Times New Roman"/>
          <w:sz w:val="20"/>
          <w:szCs w:val="20"/>
          <w:color w:val="auto"/>
        </w:rPr>
      </w:pPr>
    </w:p>
    <w:p>
      <w:pPr>
        <w:jc w:val="both"/>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(1)(ii) of the Treasury Regulations, each Company Entity is a “United States person” as defined in Section 7701(a)(30) of the Code. No Company Entity is a resident of, engaged in a trade or business in, or otherwise subject to Tax in any country outside the United States. No Company Entity has been a shareholder of (i) a “controlled foreign corporation” as defined in Section 957 of the Code (or any similar provision of state, local or foreign Law), or (ii) a “passive foreign investment company” within the meaning of Section 1297 of the Code. None of the equity interests of the Company has ever been a United States real property interest within the meaning of Section 897(c)(1) of the Code.</w:t>
      </w:r>
    </w:p>
    <w:p>
      <w:pPr>
        <w:spacing w:after="0" w:line="18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deferred any payroll Taxes or availed itself of any of the Tax deferral, credits or benefits pursuant to the CARES Act, the Presidential Memorandum on Deferring Payroll Tax Obligations in Light of the Ongoing COVID-19 Disaster, as issued on August 8, 2020, or any similar applicable federal, state, local or non-U.S. Law.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1304"/>
        <w:spacing w:after="0" w:line="253" w:lineRule="auto"/>
        <w:tabs>
          <w:tab w:leader="none" w:pos="194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 has elected to have the provisions of Chapter 63 of the Code, as amended by the Bipartisan Budget Act of 2015, apply to it with respect to any Tax year beginning prior to January 1, 2018, or (ii) made, or currently has in effect, an election under applicable state or local income Tax Law pursuant to which the entity will incur or otherwise be liable for any state or local income Taxes that would have been borne (in whole or in part) by the direct or indirect equity owners of such entity had no such election been made.</w:t>
      </w:r>
    </w:p>
    <w:p>
      <w:pPr>
        <w:spacing w:after="0" w:line="19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property or obligation of any Company Entity, including uncashed checks to vendors, customers, or employees, non-refunded overpayments or unclaimed subscription balances, is escheatable to any state or municipality under any applicable escheatment laws, as of the date hereof or that may at any time after the date hereof become escheatable to any state or municipality under any applicable escheatment legal requirements.</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Entities have engaged in a “listed transaction” as defined in Section 6707A(c) of the Code or Treasury Regulations Section 1.6011-4(b).</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Entity has properly remitted to the appropriate state Taxing Authority all material sales and use Taxes that were required to be collected or otherwise remitted by such Company Entity.</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has ever been made by a Taxing Authority in a jurisdiction where a Company Entity does not file Tax Returns that such Company Entity is or may be subject to taxation by that jurisdiction. No Company Entity has a permanent establishment or otherwise maintains an office or fixed place of business in any country other than in the country in which it is organized.</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is or has been a United States real property holding corporation within the meaning of Section 897(c)(2) of the Code during the applicable period specified in Section 897(c)(1)(A)(ii) of the Code.</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III.23 </w:t>
      </w:r>
      <w:r>
        <w:rPr>
          <w:rFonts w:ascii="Times New Roman" w:cs="Times New Roman" w:eastAsia="Times New Roman" w:hAnsi="Times New Roman"/>
          <w:sz w:val="20"/>
          <w:szCs w:val="20"/>
          <w:b w:val="1"/>
          <w:bCs w:val="1"/>
          <w:u w:val="single" w:color="auto"/>
          <w:color w:val="auto"/>
        </w:rPr>
        <w:t>Affiliate Transactions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3.23</w:t>
      </w:r>
      <w:r>
        <w:rPr>
          <w:rFonts w:ascii="Times New Roman" w:cs="Times New Roman" w:eastAsia="Times New Roman" w:hAnsi="Times New Roman"/>
          <w:sz w:val="20"/>
          <w:szCs w:val="20"/>
          <w:color w:val="auto"/>
        </w:rPr>
        <w:t>: (a) no officer, director, owner or Affiliate of the Company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of its Subsidiaries or, to the Knowledge of the Company, any individual in such officer’s, director’s or owner’s immediate family is a party to any Material Contract (other than (a) employment agreements, offer letters, consulting agreements, membership interest or stockholder agreements and option agreements, contracting agreements, fringe benefits and other compensation paid to directors, officers, employees and other service providers, (b) reimbursements of expenses incurred in the ordinary course of their employment or service which are not material in amount or significance, (c) any indemnification agreements with any directors or officers, (d) Employee Benefit Plans listed on </w:t>
      </w: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xml:space="preserve"> (and amounts paid pursuant to such plans) with the Company or any of its Subsidiaries or has any material interest in any material property used by the Company or any of its Subsidiaries.</w:t>
      </w:r>
    </w:p>
    <w:p>
      <w:pPr>
        <w:spacing w:after="0" w:line="17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III.24 </w:t>
      </w:r>
      <w:r>
        <w:rPr>
          <w:rFonts w:ascii="Times New Roman" w:cs="Times New Roman" w:eastAsia="Times New Roman" w:hAnsi="Times New Roman"/>
          <w:sz w:val="20"/>
          <w:szCs w:val="20"/>
          <w:b w:val="1"/>
          <w:bCs w:val="1"/>
          <w:u w:val="single" w:color="auto"/>
          <w:color w:val="auto"/>
        </w:rPr>
        <w:t>Absence of Changes</w:t>
      </w:r>
      <w:r>
        <w:rPr>
          <w:rFonts w:ascii="Times New Roman" w:cs="Times New Roman" w:eastAsia="Times New Roman" w:hAnsi="Times New Roman"/>
          <w:sz w:val="20"/>
          <w:szCs w:val="20"/>
          <w:color w:val="auto"/>
        </w:rPr>
        <w:t>. Except as expressly contemplated by this Agreement, as disclosed on the Financial Statements or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3.24</w:t>
      </w:r>
      <w:r>
        <w:rPr>
          <w:rFonts w:ascii="Times New Roman" w:cs="Times New Roman" w:eastAsia="Times New Roman" w:hAnsi="Times New Roman"/>
          <w:sz w:val="20"/>
          <w:szCs w:val="20"/>
          <w:color w:val="auto"/>
        </w:rPr>
        <w:t>, no Company Entity has, since the Balance Sheet Date:</w:t>
      </w:r>
    </w:p>
    <w:p>
      <w:pPr>
        <w:spacing w:after="0" w:line="156"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or restated, or approved the amendment or restatement of, the Governing Documents of such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7" w:name="page98"/>
    <w:bookmarkEnd w:id="97"/>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or changed any tax election, entered into any closing agreement or any settlement or compromise of any tax liability, amended any Tax Return, or affirmatively surrendered any right to claim a tax refund;</w:t>
      </w:r>
    </w:p>
    <w:p>
      <w:pPr>
        <w:spacing w:after="0" w:line="146" w:lineRule="exact"/>
        <w:rPr>
          <w:rFonts w:ascii="Times New Roman" w:cs="Times New Roman" w:eastAsia="Times New Roman" w:hAnsi="Times New Roman"/>
          <w:sz w:val="20"/>
          <w:szCs w:val="20"/>
          <w:color w:val="auto"/>
        </w:rPr>
      </w:pPr>
    </w:p>
    <w:p>
      <w:pPr>
        <w:jc w:val="both"/>
        <w:ind w:firstLine="1304"/>
        <w:spacing w:after="0" w:line="310" w:lineRule="auto"/>
        <w:tabs>
          <w:tab w:leader="none" w:pos="1934"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settled or compromised any material pending or threatened Action that would result in a material obligation on the Buyer or its Affiliates, other than any settlement or compromise that such Company Entity reasonably determines to be a favorable outcome;</w:t>
      </w:r>
    </w:p>
    <w:p>
      <w:pPr>
        <w:spacing w:after="0" w:line="124" w:lineRule="exact"/>
        <w:rPr>
          <w:rFonts w:ascii="Times New Roman" w:cs="Times New Roman" w:eastAsia="Times New Roman" w:hAnsi="Times New Roman"/>
          <w:sz w:val="19"/>
          <w:szCs w:val="19"/>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any material capital expenditure or commitment for additions to property, plant or equipment for any purpose outside of the ordinary course of business;</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sold, transferred, leased, optioned or otherwise disposed of any material assets, except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0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or incurred any obligation for any material increase in the compensation or benefits of any employee or service provider of the Company Entities (including any material increase pursuant to any bonus, pension, profit sharing, retirement, severance or other plan or commitment), except in the ordinary course of business or as may be required under applicable Law or the terms of an existing Employee Benefit Plan;</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any written notice from any Governmental Authority of any material liability, potential liability or claimed liability based on any violation of Law;</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suffered any material damage, destruction or loss with respect to or affecting the any facility at which employees, representatives or agents of the Company Entities perform services on behalf of the Company Entities;</w:t>
      </w:r>
    </w:p>
    <w:p>
      <w:pPr>
        <w:spacing w:after="0" w:line="159" w:lineRule="exact"/>
        <w:rPr>
          <w:rFonts w:ascii="Times New Roman" w:cs="Times New Roman" w:eastAsia="Times New Roman" w:hAnsi="Times New Roman"/>
          <w:sz w:val="20"/>
          <w:szCs w:val="20"/>
          <w:color w:val="auto"/>
        </w:rPr>
      </w:pPr>
    </w:p>
    <w:p>
      <w:pPr>
        <w:jc w:val="both"/>
        <w:ind w:firstLine="1304"/>
        <w:spacing w:after="0" w:line="295" w:lineRule="auto"/>
        <w:tabs>
          <w:tab w:leader="none" w:pos="194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instituted any material change in any Company Entity’s accounting practices or methods, cash management policies, depreciation or amortization policies, or method of purchase, sale, lease, management, marketing or operation with respect to the Businesses;</w:t>
      </w:r>
    </w:p>
    <w:p>
      <w:pPr>
        <w:spacing w:after="0" w:line="151" w:lineRule="exact"/>
        <w:rPr>
          <w:rFonts w:ascii="Times New Roman" w:cs="Times New Roman" w:eastAsia="Times New Roman" w:hAnsi="Times New Roman"/>
          <w:sz w:val="19"/>
          <w:szCs w:val="19"/>
          <w:color w:val="auto"/>
        </w:rPr>
      </w:pPr>
    </w:p>
    <w:p>
      <w:pPr>
        <w:ind w:firstLine="1304"/>
        <w:spacing w:after="0" w:line="269" w:lineRule="auto"/>
        <w:tabs>
          <w:tab w:leader="none" w:pos="19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created, incurred or assumed any third-party indebtedness in excess of $500,000 or guaranty of indebtedness or forgiven, cancelled, waived or released any indebtedness owed to any Company Entity;</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notice, written or otherwise, of any resignation or termination of employment of any Key Employee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w:t>
      </w:r>
    </w:p>
    <w:p>
      <w:pPr>
        <w:spacing w:after="0" w:line="2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agreed or committed to take any of the actions referred to in this </w:t>
      </w:r>
      <w:r>
        <w:rPr>
          <w:rFonts w:ascii="Times New Roman" w:cs="Times New Roman" w:eastAsia="Times New Roman" w:hAnsi="Times New Roman"/>
          <w:sz w:val="20"/>
          <w:szCs w:val="20"/>
          <w:u w:val="single" w:color="auto"/>
          <w:color w:val="auto"/>
        </w:rPr>
        <w:t>Section 3.24</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III.25 </w:t>
      </w:r>
      <w:r>
        <w:rPr>
          <w:rFonts w:ascii="Times New Roman" w:cs="Times New Roman" w:eastAsia="Times New Roman" w:hAnsi="Times New Roman"/>
          <w:sz w:val="20"/>
          <w:szCs w:val="20"/>
          <w:b w:val="1"/>
          <w:bCs w:val="1"/>
          <w:u w:val="single" w:color="auto"/>
          <w:color w:val="auto"/>
        </w:rPr>
        <w:t>Anti-Corruption and Anti-Bribery Laws</w:t>
      </w:r>
      <w:r>
        <w:rPr>
          <w:rFonts w:ascii="Times New Roman" w:cs="Times New Roman" w:eastAsia="Times New Roman" w:hAnsi="Times New Roman"/>
          <w:sz w:val="20"/>
          <w:szCs w:val="20"/>
          <w:color w:val="auto"/>
        </w:rPr>
        <w:t>. The Company Entities, subject to applicable statutes of limitation, have at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times been, and is currently, in compliance with the U.S. Foreign Corrupt Practices Act of 1977, as amended (the “</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the U.K. Bribery Act 2010, and any other applicable anti bribery or anti-corruption law. Neither any Company Entity, nor any of its respective directors, officers, employees or, to the Company’s Knowledge, any agents acting on the Company’s behalf have, directly or indirectly, made, offered, promised or authorized any payment or gift of any money or anything of value to or for the benefit of any “foreign official” (as such term is defined in the FCPA),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-26-</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0" w:lineRule="auto"/>
        <w:rPr>
          <w:sz w:val="20"/>
          <w:szCs w:val="20"/>
          <w:color w:val="auto"/>
        </w:rPr>
      </w:pPr>
      <w:r>
        <w:rPr>
          <w:rFonts w:ascii="Times New Roman" w:cs="Times New Roman" w:eastAsia="Times New Roman" w:hAnsi="Times New Roman"/>
          <w:sz w:val="20"/>
          <w:szCs w:val="20"/>
          <w:color w:val="auto"/>
        </w:rPr>
        <w:t>authority, or (iii) securing any improper advantage, in the case of (i), (ii) and (iii) above in order to assist the Company or any of its affiliates in obtaining or retaining business for with, or directing business to, any Person. Neither any Company Entity, nor any of its respective directors, officers, employees or, to the Company’s Knowledge, any agents acting on the Company’s behalf have made or authorized any bribe, rebate, payoff, influence payment, kickback or other unlawful payment of funds or received or retained any funds in violation of any law, rule or regulation. Each Company Entity has maintained, and has caused each of its subsidiaries and affiliates to maintain, systems of internal controls (including, but not limited to, accounting systems, purchasing systems and billing systems) and policies to ensure compliance with the FCPA, the U.K. Bribery Act 2010 and any other applicable anti bribery or anti-corruption law, and to ensure that all books and records of the Company Entity accurately and fairly reflect, in reasonable detail, all transactions and dispositions of funds and assets. Neither any Company Entity, nor, to the Company’s Knowledge, any of its respective directors, officers’, directors or employees are the subject of any allegation, voluntary disclosure, to the Company’s Knowledge, investigation, prosecution or other enforcement action related to the FCPA or any other applicable anti-corruption laws.</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III.26 </w:t>
      </w:r>
      <w:r>
        <w:rPr>
          <w:rFonts w:ascii="Times New Roman" w:cs="Times New Roman" w:eastAsia="Times New Roman" w:hAnsi="Times New Roman"/>
          <w:sz w:val="20"/>
          <w:szCs w:val="20"/>
          <w:b w:val="1"/>
          <w:bCs w:val="1"/>
          <w:u w:val="single" w:color="auto"/>
          <w:color w:val="auto"/>
        </w:rPr>
        <w:t>Compliance with Sanctions and Anti-Money Laundering Laws</w:t>
      </w:r>
      <w:r>
        <w:rPr>
          <w:rFonts w:ascii="Times New Roman" w:cs="Times New Roman" w:eastAsia="Times New Roman" w:hAnsi="Times New Roman"/>
          <w:sz w:val="20"/>
          <w:szCs w:val="20"/>
          <w:color w:val="auto"/>
        </w:rPr>
        <w:t>. Neither any Company Entity nor any of its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officers, employees, or, to the Company’s Knowledge, any agents acting on the Company’s behalf is a Sanctioned Person (as defined below). The Company Entities, and to the Company’s Knowledge, their affiliates and the directors, officers, employees, and agents are in compliance with, and have not previously violated, any of the Sanctions (as defined below), the U.S. Bank Secrecy Act, as amended by the USA Patriot Act of 2001, and the U.S. Money Laundering Control Act of 1986, as amended through the date hereof, to the extent applicable to the Company Entities, and all other applicable anti-money laundering and economic sanctions laws and regulations of the United States or any other applicable jurisdiction. For the purposes of this paragraph: (i) “</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any of the laws, executive orders, regulations and rules related to sanctions programs administered by the Office of Foreign Assets Control of the U.S. Department of the Treasury (“</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Bureau of Industry and Security of the U.S. Department of Commerce (“</w:t>
      </w:r>
      <w:r>
        <w:rPr>
          <w:rFonts w:ascii="Times New Roman" w:cs="Times New Roman" w:eastAsia="Times New Roman" w:hAnsi="Times New Roman"/>
          <w:sz w:val="20"/>
          <w:szCs w:val="20"/>
          <w:b w:val="1"/>
          <w:bCs w:val="1"/>
          <w:i w:val="1"/>
          <w:iCs w:val="1"/>
          <w:color w:val="auto"/>
        </w:rPr>
        <w:t>BIS</w:t>
      </w:r>
      <w:r>
        <w:rPr>
          <w:rFonts w:ascii="Times New Roman" w:cs="Times New Roman" w:eastAsia="Times New Roman" w:hAnsi="Times New Roman"/>
          <w:sz w:val="20"/>
          <w:szCs w:val="20"/>
          <w:color w:val="auto"/>
        </w:rPr>
        <w:t>”) or the U.S. Department of State (“</w:t>
      </w:r>
      <w:r>
        <w:rPr>
          <w:rFonts w:ascii="Times New Roman" w:cs="Times New Roman" w:eastAsia="Times New Roman" w:hAnsi="Times New Roman"/>
          <w:sz w:val="20"/>
          <w:szCs w:val="20"/>
          <w:b w:val="1"/>
          <w:bCs w:val="1"/>
          <w:i w:val="1"/>
          <w:iCs w:val="1"/>
          <w:color w:val="auto"/>
        </w:rPr>
        <w:t>State Department</w:t>
      </w:r>
      <w:r>
        <w:rPr>
          <w:rFonts w:ascii="Times New Roman" w:cs="Times New Roman" w:eastAsia="Times New Roman" w:hAnsi="Times New Roman"/>
          <w:sz w:val="20"/>
          <w:szCs w:val="20"/>
          <w:color w:val="auto"/>
        </w:rPr>
        <w:t>”). (ii) “</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means any government, country, corporation or other entity, group or individual with whom or which the Sanctions prohibit or restrict a U.S. Person from engaging in transactions, and includes without limitation any individual or corporation or other entity that appears on the OFAC list of Specially Designated Nationals and Blocked Persons (the “</w:t>
      </w:r>
      <w:r>
        <w:rPr>
          <w:rFonts w:ascii="Times New Roman" w:cs="Times New Roman" w:eastAsia="Times New Roman" w:hAnsi="Times New Roman"/>
          <w:sz w:val="20"/>
          <w:szCs w:val="20"/>
          <w:b w:val="1"/>
          <w:bCs w:val="1"/>
          <w:i w:val="1"/>
          <w:iCs w:val="1"/>
          <w:color w:val="auto"/>
        </w:rPr>
        <w:t>SDN Lis</w:t>
      </w:r>
      <w:r>
        <w:rPr>
          <w:rFonts w:ascii="Times New Roman" w:cs="Times New Roman" w:eastAsia="Times New Roman" w:hAnsi="Times New Roman"/>
          <w:sz w:val="20"/>
          <w:szCs w:val="20"/>
          <w:i w:val="1"/>
          <w:iCs w:val="1"/>
          <w:color w:val="auto"/>
        </w:rPr>
        <w:t>t</w:t>
      </w:r>
      <w:r>
        <w:rPr>
          <w:rFonts w:ascii="Times New Roman" w:cs="Times New Roman" w:eastAsia="Times New Roman" w:hAnsi="Times New Roman"/>
          <w:sz w:val="20"/>
          <w:szCs w:val="20"/>
          <w:color w:val="auto"/>
        </w:rPr>
        <w:t>”) and other lists maintained by OFAC, the BIS Entity List, Denied Persons List and Unverified List, and the sanctions lists maintained by the State Department, as each such list may be amended from time to time. (iii) “</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means any U.S. citizen, permanent resident alien, entity organized under the laws of the United States (including foreign branches), or any person (individual or entity) in the United States, and, with respect to OFAC’s sanctions programs relating to Cuba and Iran, also includes any corporation or other entity that is owned or controlled by one of the foregoing, without regard to where it is organized or doing business.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III.27 </w:t>
      </w:r>
      <w:r>
        <w:rPr>
          <w:rFonts w:ascii="Times New Roman" w:cs="Times New Roman" w:eastAsia="Times New Roman" w:hAnsi="Times New Roman"/>
          <w:sz w:val="20"/>
          <w:szCs w:val="20"/>
          <w:b w:val="1"/>
          <w:bCs w:val="1"/>
          <w:u w:val="single" w:color="auto"/>
          <w:color w:val="auto"/>
        </w:rPr>
        <w:t>No Brokerage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3.27</w:t>
      </w:r>
      <w:r>
        <w:rPr>
          <w:rFonts w:ascii="Times New Roman" w:cs="Times New Roman" w:eastAsia="Times New Roman" w:hAnsi="Times New Roman"/>
          <w:sz w:val="20"/>
          <w:szCs w:val="20"/>
          <w:color w:val="auto"/>
        </w:rPr>
        <w:t>, no Company Entity has retained any broker or finder, or made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or representation to any Person that would entitle such Person to, or agreed to pay, any broker’s, finder’s or similar fees or commissions in connection with the transactions contemplated by this Agreement or any other Transaction Document.</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III.28 </w:t>
      </w:r>
      <w:r>
        <w:rPr>
          <w:rFonts w:ascii="Times New Roman" w:cs="Times New Roman" w:eastAsia="Times New Roman" w:hAnsi="Times New Roman"/>
          <w:sz w:val="20"/>
          <w:szCs w:val="20"/>
          <w:b w:val="1"/>
          <w:bCs w:val="1"/>
          <w:u w:val="single" w:color="auto"/>
          <w:color w:val="auto"/>
        </w:rPr>
        <w:t>Available Information</w:t>
      </w:r>
      <w:r>
        <w:rPr>
          <w:rFonts w:ascii="Times New Roman" w:cs="Times New Roman" w:eastAsia="Times New Roman" w:hAnsi="Times New Roman"/>
          <w:sz w:val="20"/>
          <w:szCs w:val="20"/>
          <w:color w:val="auto"/>
        </w:rPr>
        <w:t>. The Company Entities have made available to the Buyer all the information that the Buyer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requested for deciding whether to acquire the Shares, including its proposed business plan and strategy (the “</w:t>
      </w:r>
      <w:r>
        <w:rPr>
          <w:rFonts w:ascii="Times New Roman" w:cs="Times New Roman" w:eastAsia="Times New Roman" w:hAnsi="Times New Roman"/>
          <w:sz w:val="20"/>
          <w:szCs w:val="20"/>
          <w:b w:val="1"/>
          <w:bCs w:val="1"/>
          <w:i w:val="1"/>
          <w:iCs w:val="1"/>
          <w:color w:val="auto"/>
        </w:rPr>
        <w:t>Business Plan</w:t>
      </w:r>
      <w:r>
        <w:rPr>
          <w:rFonts w:ascii="Times New Roman" w:cs="Times New Roman" w:eastAsia="Times New Roman" w:hAnsi="Times New Roman"/>
          <w:sz w:val="20"/>
          <w:szCs w:val="20"/>
          <w:color w:val="auto"/>
        </w:rPr>
        <w:t>”). No representation or warranty of the Company contained in this Agreement and no certificate furnished or to be furnished to Buyers at the Closing contains any untrue statement of a material fact or omits to state a material fact necessary in order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-27-</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9" w:name="page100"/>
    <w:bookmarkEnd w:id="99"/>
    <w:p>
      <w:pPr>
        <w:spacing w:after="0" w:line="283" w:lineRule="auto"/>
        <w:rPr>
          <w:sz w:val="20"/>
          <w:szCs w:val="20"/>
          <w:color w:val="auto"/>
        </w:rPr>
      </w:pPr>
      <w:r>
        <w:rPr>
          <w:rFonts w:ascii="Times New Roman" w:cs="Times New Roman" w:eastAsia="Times New Roman" w:hAnsi="Times New Roman"/>
          <w:sz w:val="20"/>
          <w:szCs w:val="20"/>
          <w:color w:val="auto"/>
        </w:rPr>
        <w:t>to make the statements contained herein or therein not misleading in light of the circumstances under which they were made. The Business Plan was prepared in good faith.</w:t>
      </w:r>
    </w:p>
    <w:p>
      <w:pPr>
        <w:spacing w:after="0" w:line="142" w:lineRule="exact"/>
        <w:rPr>
          <w:sz w:val="20"/>
          <w:szCs w:val="20"/>
          <w:color w:val="auto"/>
        </w:rPr>
      </w:pPr>
    </w:p>
    <w:p>
      <w:pPr>
        <w:ind w:left="2240"/>
        <w:spacing w:after="0"/>
        <w:tabs>
          <w:tab w:leader="none" w:pos="3520" w:val="left"/>
        </w:tabs>
        <w:rPr>
          <w:sz w:val="20"/>
          <w:szCs w:val="20"/>
          <w:color w:val="auto"/>
        </w:rPr>
      </w:pPr>
      <w:r>
        <w:rPr>
          <w:rFonts w:ascii="Times New Roman" w:cs="Times New Roman" w:eastAsia="Times New Roman" w:hAnsi="Times New Roman"/>
          <w:sz w:val="20"/>
          <w:szCs w:val="20"/>
          <w:b w:val="1"/>
          <w:bCs w:val="1"/>
          <w:color w:val="auto"/>
        </w:rPr>
        <w:t>Article IV</w:t>
      </w:r>
      <w:r>
        <w:rPr>
          <w:sz w:val="20"/>
          <w:szCs w:val="20"/>
          <w:color w:val="auto"/>
        </w:rPr>
        <w:tab/>
      </w:r>
      <w:r>
        <w:rPr>
          <w:rFonts w:ascii="Times New Roman" w:cs="Times New Roman" w:eastAsia="Times New Roman" w:hAnsi="Times New Roman"/>
          <w:sz w:val="19"/>
          <w:szCs w:val="19"/>
          <w:b w:val="1"/>
          <w:bCs w:val="1"/>
          <w:color w:val="auto"/>
        </w:rPr>
        <w:t>– REPRESENTATIONS AND WARRANTIES OF THE BUYER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the Effective Date, the Buyer represents and warrants to the Company the following:</w:t>
      </w:r>
    </w:p>
    <w:p>
      <w:pPr>
        <w:spacing w:after="0" w:line="2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IV.1</w:t>
      </w:r>
      <w:r>
        <w:rPr>
          <w:sz w:val="20"/>
          <w:szCs w:val="20"/>
          <w:color w:val="auto"/>
        </w:rPr>
        <w:tab/>
      </w:r>
      <w:r>
        <w:rPr>
          <w:rFonts w:ascii="Times New Roman" w:cs="Times New Roman" w:eastAsia="Times New Roman" w:hAnsi="Times New Roman"/>
          <w:sz w:val="20"/>
          <w:szCs w:val="20"/>
          <w:b w:val="1"/>
          <w:bCs w:val="1"/>
          <w:u w:val="single" w:color="auto"/>
          <w:color w:val="auto"/>
        </w:rPr>
        <w:t>Capacity, Authority and Consents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duly organized, validly existing and in good standing under the Laws of the state of its formation or incorporation. The Buyer has all requisite power and authority to enter into the transactions under this Agreement and the other Transaction Documents, to perform its obligations hereunder, to own, lease and operate its properties, and to conduct its business as now being conducted. The Buyer is duly qualified or licensed to do business and is in good standing in each jurisdiction in which the conduct of its business or the ownership, leasing, holding or use of its properties makes such qualification necessary or advisable.</w:t>
      </w:r>
    </w:p>
    <w:p>
      <w:pPr>
        <w:spacing w:after="0" w:line="191"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Transaction Documents to which the Buyer is or will become a party and the actions to be taken by the Buyer in connection with the consummation of the transactions contemplated herein:</w:t>
      </w:r>
    </w:p>
    <w:p>
      <w:pPr>
        <w:spacing w:after="0" w:line="208" w:lineRule="exact"/>
        <w:rPr>
          <w:rFonts w:ascii="Times New Roman" w:cs="Times New Roman" w:eastAsia="Times New Roman" w:hAnsi="Times New Roman"/>
          <w:sz w:val="20"/>
          <w:szCs w:val="20"/>
          <w:color w:val="auto"/>
        </w:rPr>
      </w:pPr>
    </w:p>
    <w:p>
      <w:pPr>
        <w:ind w:left="1300" w:firstLine="652"/>
        <w:spacing w:after="0" w:line="245" w:lineRule="auto"/>
        <w:tabs>
          <w:tab w:leader="none" w:pos="258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are within the powers of the Buyer, are not in contravention of applicable Law or the terms of the Buyer’s Governing Documents and have been duly authorized by all appropriate action;</w:t>
      </w:r>
    </w:p>
    <w:p>
      <w:pPr>
        <w:spacing w:after="0" w:line="22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Schedule 4.1(b)(ii)</w:t>
      </w:r>
      <w:r>
        <w:rPr>
          <w:rFonts w:ascii="Times New Roman" w:cs="Times New Roman" w:eastAsia="Times New Roman" w:hAnsi="Times New Roman"/>
          <w:sz w:val="19"/>
          <w:szCs w:val="19"/>
          <w:color w:val="auto"/>
        </w:rPr>
        <w:t>, do not require any Consent of (A) any Governmental Authority or</w:t>
      </w:r>
    </w:p>
    <w:p>
      <w:pPr>
        <w:spacing w:after="0" w:line="22"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(B) any third party;</w:t>
      </w:r>
    </w:p>
    <w:p>
      <w:pPr>
        <w:spacing w:after="0" w:line="221" w:lineRule="exact"/>
        <w:rPr>
          <w:rFonts w:ascii="Times New Roman" w:cs="Times New Roman" w:eastAsia="Times New Roman" w:hAnsi="Times New Roman"/>
          <w:sz w:val="21"/>
          <w:szCs w:val="21"/>
          <w:color w:val="auto"/>
        </w:rPr>
      </w:pPr>
    </w:p>
    <w:p>
      <w:pPr>
        <w:jc w:val="both"/>
        <w:ind w:left="1300" w:firstLine="652"/>
        <w:spacing w:after="0" w:line="248" w:lineRule="auto"/>
        <w:tabs>
          <w:tab w:leader="none" w:pos="259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4.1(b)(iii)</w:t>
      </w:r>
      <w:r>
        <w:rPr>
          <w:rFonts w:ascii="Times New Roman" w:cs="Times New Roman" w:eastAsia="Times New Roman" w:hAnsi="Times New Roman"/>
          <w:sz w:val="20"/>
          <w:szCs w:val="20"/>
          <w:color w:val="auto"/>
        </w:rPr>
        <w:t>, will not result in any material breach or contravention of, nor permit the acceleration of the maturity of or termination of, payment of any penalty or constitute a default under, the terms of any material indenture, mortgage or other Contract to which the Buyer is a party or otherwise bound; and</w:t>
      </w:r>
    </w:p>
    <w:p>
      <w:pPr>
        <w:spacing w:after="0" w:line="22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violate any Law to which the Buyer is subject.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IV.2 </w:t>
      </w:r>
      <w:r>
        <w:rPr>
          <w:rFonts w:ascii="Times New Roman" w:cs="Times New Roman" w:eastAsia="Times New Roman" w:hAnsi="Times New Roman"/>
          <w:sz w:val="20"/>
          <w:szCs w:val="20"/>
          <w:b w:val="1"/>
          <w:bCs w:val="1"/>
          <w:u w:val="single" w:color="auto"/>
          <w:color w:val="auto"/>
        </w:rPr>
        <w:t>Binding Agreement</w:t>
      </w:r>
      <w:r>
        <w:rPr>
          <w:rFonts w:ascii="Times New Roman" w:cs="Times New Roman" w:eastAsia="Times New Roman" w:hAnsi="Times New Roman"/>
          <w:sz w:val="20"/>
          <w:szCs w:val="20"/>
          <w:color w:val="auto"/>
        </w:rPr>
        <w:t>. This Agreement and each other Transaction Document to which the Buyer is or will become a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will constitute the valid and legally binding obligations of the Buyer, and is and will be enforceable against the Buyer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IV.3 </w:t>
      </w:r>
      <w:r>
        <w:rPr>
          <w:rFonts w:ascii="Times New Roman" w:cs="Times New Roman" w:eastAsia="Times New Roman" w:hAnsi="Times New Roman"/>
          <w:sz w:val="20"/>
          <w:szCs w:val="20"/>
          <w:b w:val="1"/>
          <w:bCs w:val="1"/>
          <w:u w:val="single" w:color="auto"/>
          <w:color w:val="auto"/>
        </w:rPr>
        <w:t>Litigation and Proceedings</w:t>
      </w:r>
      <w:r>
        <w:rPr>
          <w:rFonts w:ascii="Times New Roman" w:cs="Times New Roman" w:eastAsia="Times New Roman" w:hAnsi="Times New Roman"/>
          <w:sz w:val="20"/>
          <w:szCs w:val="20"/>
          <w:color w:val="auto"/>
        </w:rPr>
        <w:t>. There are no Actions pending or, to the Buyer’s knowledge, threatened against the Buyer,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governing Persons thereof, at law or in equity, or before or by any Governmental Authority, that if adversely determined could be reasonably expected to materially impair the Buyer’s ability to fulfill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-28-</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IV.4 </w:t>
      </w:r>
      <w:r>
        <w:rPr>
          <w:rFonts w:ascii="Times New Roman" w:cs="Times New Roman" w:eastAsia="Times New Roman" w:hAnsi="Times New Roman"/>
          <w:sz w:val="20"/>
          <w:szCs w:val="20"/>
          <w:b w:val="1"/>
          <w:bCs w:val="1"/>
          <w:u w:val="single" w:color="auto"/>
          <w:color w:val="auto"/>
        </w:rPr>
        <w:t>No Brokerage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neither the Buyer nor any of its Affiliates has retained any broker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finder, or made any statement or representation to any Person that would entitle such Person to, or agreed to pay, any broker’s, finder’s or similar fees or commissions in connection with the transactions contemplated by this Agreement or any other Transaction Document.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IV.5 </w:t>
      </w:r>
      <w:r>
        <w:rPr>
          <w:rFonts w:ascii="Times New Roman" w:cs="Times New Roman" w:eastAsia="Times New Roman" w:hAnsi="Times New Roman"/>
          <w:sz w:val="20"/>
          <w:szCs w:val="20"/>
          <w:b w:val="1"/>
          <w:bCs w:val="1"/>
          <w:u w:val="single" w:color="auto"/>
          <w:color w:val="auto"/>
        </w:rPr>
        <w:t>Securities Laws Representations</w:t>
      </w:r>
      <w:r>
        <w:rPr>
          <w:rFonts w:ascii="Times New Roman" w:cs="Times New Roman" w:eastAsia="Times New Roman" w:hAnsi="Times New Roman"/>
          <w:sz w:val="20"/>
          <w:szCs w:val="20"/>
          <w:color w:val="auto"/>
        </w:rPr>
        <w:t>. In connection with the transfer of the Shares to the Buyer, the Buyer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that:</w:t>
      </w:r>
    </w:p>
    <w:p>
      <w:pPr>
        <w:spacing w:after="0" w:line="169" w:lineRule="exact"/>
        <w:rPr>
          <w:sz w:val="20"/>
          <w:szCs w:val="20"/>
          <w:color w:val="auto"/>
        </w:rPr>
      </w:pPr>
    </w:p>
    <w:p>
      <w:pPr>
        <w:ind w:firstLine="1304"/>
        <w:spacing w:after="0" w:line="283" w:lineRule="auto"/>
        <w:tabs>
          <w:tab w:leader="none" w:pos="193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accepting transfer of the Shares for investment for the Buyer’s own account only and not with a view to, or for resale in connection with, any “distribution” of the Shares within the meaning of the Securities Act.</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understands that the Shares have not been registered under the Securities Act by reason of a specific exemption therefrom, which exemption depends upon, among other things, the bona fide nature of the Buyer’s investment intent as expressed herein.</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understands that the Shares are “restricted securities” under applicable U.S. federal and state securities laws and that, pursuant to these laws, the Buyer must hold the Shares indefinitely unless it is registered with the Securities and Exchange Commission and qualified by state authorities, or an exemption from such registration and qualification requirements is available. The Buyer acknowledges that the Company has no obligation to register or qualify the Shares for resale. The Buyer further acknowledges that if an exemption from registration or qualification is available, it may be conditioned on various requirements including, but not limited to, the time and manner of sale, the holding period for the Shares, and requirements relating to the Company which are outside of the Buyer’s control, and which the Company is under no obligation and may not be able to satisfy.</w:t>
      </w:r>
    </w:p>
    <w:p>
      <w:pPr>
        <w:spacing w:after="0" w:line="17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will not sell, transfer, pledge or otherwise dispose of any Shares received by the Buyer unless and until</w:t>
      </w:r>
    </w:p>
    <w:p>
      <w:pPr>
        <w:spacing w:after="0" w:line="28" w:lineRule="exact"/>
        <w:rPr>
          <w:rFonts w:ascii="Times New Roman" w:cs="Times New Roman" w:eastAsia="Times New Roman" w:hAnsi="Times New Roman"/>
          <w:sz w:val="20"/>
          <w:szCs w:val="20"/>
          <w:color w:val="auto"/>
        </w:rPr>
      </w:pPr>
    </w:p>
    <w:p>
      <w:pPr>
        <w:jc w:val="both"/>
        <w:ind w:firstLine="8"/>
        <w:spacing w:after="0" w:line="248" w:lineRule="auto"/>
        <w:tabs>
          <w:tab w:leader="none" w:pos="33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are subsequently registered under the Securities Act and any applicable state securities laws, or (B) (y) an exemption from such registration is available thereunder, and (z) the Buyer has notified the Company of the proposed transfer and has furnished the Company with an opinion of counsel in a form reasonably satisfactory to the Company that such transfer will not require registration of such Shares under the Securities Act. The Buyer understands that the Company is not obligated, and does not intend, to register any such Shares either under the Securities Act or any state securities laws. The Buyer authorizes the Company to issue stop transfer instructions to its transfer agent, or, so long as the Company may act as its own transfer agent, to make a stop transfer notation in its appropriate records, in order to ensure the Buyer’s compliance with this provision.</w:t>
      </w:r>
    </w:p>
    <w:p>
      <w:pPr>
        <w:spacing w:after="0" w:line="19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is a sophisticated investor with sufficient knowledge, sophistication and experience in business, including transactions involving private investments, to properly evaluate the risks and merits of its purchase of the Shares. Buyer has determined based on its own independent review and such professional advice as it deems appropriate that its purchase of the Shares (i) are fully consistent with its financial needs, objectives and condition, (ii) comply and are fully consistent with all investment policies, guidelines and other restrictions applicable to Buyer, (iii) if applicable, do not and will not violate or constitute a default under Buyer’s charter, bylaws or other constituent document, or under any law, rule, regulation, agreement or other obligation by which such Buyer is bound and (iv) are a fit, proper and suitable investment for Buyer, notwithstanding the substantial risks inherent in investing in or holding the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-29-</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1" w:name="page102"/>
    <w:bookmarkEnd w:id="101"/>
    <w:p>
      <w:pPr>
        <w:jc w:val="both"/>
        <w:ind w:firstLine="1304"/>
        <w:spacing w:after="0" w:line="258" w:lineRule="auto"/>
        <w:tabs>
          <w:tab w:leader="none" w:pos="19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did not learn of the investment in the Shares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Buyer was invited by any of the foregoing means of communications.</w:t>
      </w:r>
    </w:p>
    <w:p>
      <w:pPr>
        <w:spacing w:after="0" w:line="16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IV.6</w:t>
      </w:r>
      <w:r>
        <w:rPr>
          <w:sz w:val="20"/>
          <w:szCs w:val="20"/>
          <w:color w:val="auto"/>
        </w:rPr>
        <w:tab/>
      </w:r>
      <w:r>
        <w:rPr>
          <w:rFonts w:ascii="Times New Roman" w:cs="Times New Roman" w:eastAsia="Times New Roman" w:hAnsi="Times New Roman"/>
          <w:sz w:val="20"/>
          <w:szCs w:val="20"/>
          <w:b w:val="1"/>
          <w:bCs w:val="1"/>
          <w:u w:val="single" w:color="auto"/>
          <w:color w:val="auto"/>
        </w:rPr>
        <w:t>Acknowledgements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acknowledges (for itself and on behalf of its Affiliates) that: (i) it and its representatives have had an opportunity to meet with representatives of the Company Entities to discuss the businesses, operations, assets, properties, liabilities, and condition (financial and otherwise) of the Company Entities; (ii) the Company and its Representatives have not made, and are not making, any representations or warranties whatsoever regarding the subject matter of this Agreement, express or implied, except for those representations and warranties expressly set forth in this Agreement, any certificate delivered pursuant hereto, or in any other Transaction Document; and (iii) the Buyer is not relying and has not relied on any other representations or warranties whatsoever regarding the subject matter of this Agreement, express or implied.</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Buyer’s investigation of the Company Entities, the Buyer has received from or on behalf of the Company Entities certain future business plans and strategies. The Buyer acknowledges that (i) there are uncertainties inherent in attempting to make such plans and (ii) the Buyer is familiar with such uncertainties and that, subject to the express representations and warranties of the Company Entities set forth herein, the Buyer has made its own evaluation and determination related to such plans. The Parties agree that no provision of this Agreement is intended to eliminate the Buyer’s remedies with respect to any actual and intentional fraud, willful misconduct or criminal acts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IV.7 </w:t>
      </w:r>
      <w:r>
        <w:rPr>
          <w:rFonts w:ascii="Times New Roman" w:cs="Times New Roman" w:eastAsia="Times New Roman" w:hAnsi="Times New Roman"/>
          <w:sz w:val="20"/>
          <w:szCs w:val="20"/>
          <w:b w:val="1"/>
          <w:bCs w:val="1"/>
          <w:u w:val="single" w:color="auto"/>
          <w:color w:val="auto"/>
        </w:rPr>
        <w:t>Transfer Taxes</w:t>
      </w:r>
      <w:r>
        <w:rPr>
          <w:rFonts w:ascii="Times New Roman" w:cs="Times New Roman" w:eastAsia="Times New Roman" w:hAnsi="Times New Roman"/>
          <w:sz w:val="20"/>
          <w:szCs w:val="20"/>
          <w:color w:val="auto"/>
        </w:rPr>
        <w:t>. All transfer, documentary, sales, use, stamp, registration, value added and similar taxes and fees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incurred in connection with this Agreement shall be borne by the Company. Any party required under applicable law to file any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Return or other document with respect to such Transfer Taxes shall file such tax return (and the other parties shall cooperate with respect thereto as necessary, and the Company shall reimburse any other party filing such tax return pursuant to this Section 4.7 for such Transfer Taxes).</w:t>
      </w:r>
    </w:p>
    <w:p>
      <w:pPr>
        <w:spacing w:after="0" w:line="187" w:lineRule="exact"/>
        <w:rPr>
          <w:sz w:val="20"/>
          <w:szCs w:val="20"/>
          <w:color w:val="auto"/>
        </w:rPr>
      </w:pPr>
    </w:p>
    <w:p>
      <w:pPr>
        <w:ind w:left="3780"/>
        <w:spacing w:after="0"/>
        <w:tabs>
          <w:tab w:leader="none" w:pos="5060" w:val="left"/>
        </w:tabs>
        <w:rPr>
          <w:sz w:val="20"/>
          <w:szCs w:val="20"/>
          <w:color w:val="auto"/>
        </w:rPr>
      </w:pPr>
      <w:r>
        <w:rPr>
          <w:rFonts w:ascii="Times New Roman" w:cs="Times New Roman" w:eastAsia="Times New Roman" w:hAnsi="Times New Roman"/>
          <w:sz w:val="20"/>
          <w:szCs w:val="20"/>
          <w:b w:val="1"/>
          <w:bCs w:val="1"/>
          <w:color w:val="auto"/>
        </w:rPr>
        <w:t>Article V</w:t>
      </w:r>
      <w:r>
        <w:rPr>
          <w:sz w:val="20"/>
          <w:szCs w:val="20"/>
          <w:color w:val="auto"/>
        </w:rPr>
        <w:tab/>
      </w:r>
      <w:r>
        <w:rPr>
          <w:rFonts w:ascii="Times New Roman" w:cs="Times New Roman" w:eastAsia="Times New Roman" w:hAnsi="Times New Roman"/>
          <w:sz w:val="19"/>
          <w:szCs w:val="19"/>
          <w:b w:val="1"/>
          <w:bCs w:val="1"/>
          <w:color w:val="auto"/>
        </w:rPr>
        <w:t>– CLOSING CONDITIONS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V.1 </w:t>
      </w:r>
      <w:r>
        <w:rPr>
          <w:rFonts w:ascii="Times New Roman" w:cs="Times New Roman" w:eastAsia="Times New Roman" w:hAnsi="Times New Roman"/>
          <w:sz w:val="20"/>
          <w:szCs w:val="20"/>
          <w:b w:val="1"/>
          <w:bCs w:val="1"/>
          <w:u w:val="single" w:color="auto"/>
          <w:color w:val="auto"/>
        </w:rPr>
        <w:t>Conditions to the Buyer’s Obligations at Closing</w:t>
      </w:r>
      <w:r>
        <w:rPr>
          <w:rFonts w:ascii="Times New Roman" w:cs="Times New Roman" w:eastAsia="Times New Roman" w:hAnsi="Times New Roman"/>
          <w:sz w:val="20"/>
          <w:szCs w:val="20"/>
          <w:color w:val="auto"/>
        </w:rPr>
        <w:t>. The obligations of the Buyer to purchase Shares at the Closing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fulfillment, on or before the Closing, of each of the following conditions, unless otherwise waived:</w:t>
      </w:r>
    </w:p>
    <w:p>
      <w:pPr>
        <w:spacing w:after="0" w:line="142" w:lineRule="exact"/>
        <w:rPr>
          <w:sz w:val="20"/>
          <w:szCs w:val="20"/>
          <w:color w:val="auto"/>
        </w:rPr>
      </w:pPr>
    </w:p>
    <w:p>
      <w:pPr>
        <w:ind w:firstLine="1304"/>
        <w:spacing w:after="0" w:line="283"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Company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true and correct in all respects as of the Closing.</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The Company shall have performed and complied with all covenants, agreements, obligations and conditions contained in this Agreement that are required to be performed or complied with by the Company in all respects on or before the Closing.</w:t>
      </w:r>
    </w:p>
    <w:p>
      <w:pPr>
        <w:spacing w:after="0" w:line="167"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The Chief Executive Officer or President of the Company shall deliver to the Buyer a certificate certifying that the conditions specified in </w:t>
      </w:r>
      <w:r>
        <w:rPr>
          <w:rFonts w:ascii="Times New Roman" w:cs="Times New Roman" w:eastAsia="Times New Roman" w:hAnsi="Times New Roman"/>
          <w:sz w:val="20"/>
          <w:szCs w:val="20"/>
          <w:u w:val="single" w:color="auto"/>
          <w:color w:val="auto"/>
        </w:rPr>
        <w:t>Sections 5.1(a)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have been fulfilled.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1304"/>
        <w:spacing w:after="0" w:line="261"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w:t>
      </w:r>
      <w:r>
        <w:rPr>
          <w:rFonts w:ascii="Times New Roman" w:cs="Times New Roman" w:eastAsia="Times New Roman" w:hAnsi="Times New Roman"/>
          <w:sz w:val="20"/>
          <w:szCs w:val="20"/>
          <w:color w:val="auto"/>
        </w:rPr>
        <w:t>. The Secretary of the Company shall have delivered to the Buyer a certificate certifying the Certificate of Incorporation and Bylaws of the Company as in effect at the Closing and the resolutions of the Board approving the Transaction Documents and the transactions contemplated under the Transaction Documents.</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Qualifications</w:t>
      </w:r>
      <w:r>
        <w:rPr>
          <w:rFonts w:ascii="Times New Roman" w:cs="Times New Roman" w:eastAsia="Times New Roman" w:hAnsi="Times New Roman"/>
          <w:sz w:val="20"/>
          <w:szCs w:val="20"/>
          <w:color w:val="auto"/>
        </w:rPr>
        <w:t>. All Permits, if any, that are required in connection with the lawful issuance and sale of the Shares pursuant to this Agreement shall be obtained and effective as of the Closing.</w:t>
      </w:r>
    </w:p>
    <w:p>
      <w:pPr>
        <w:spacing w:after="0" w:line="172" w:lineRule="exact"/>
        <w:rPr>
          <w:rFonts w:ascii="Times New Roman" w:cs="Times New Roman" w:eastAsia="Times New Roman" w:hAnsi="Times New Roman"/>
          <w:sz w:val="20"/>
          <w:szCs w:val="20"/>
          <w:color w:val="auto"/>
        </w:rPr>
      </w:pPr>
    </w:p>
    <w:p>
      <w:pPr>
        <w:ind w:right="20" w:firstLine="1304"/>
        <w:spacing w:after="0" w:line="283" w:lineRule="auto"/>
        <w:tabs>
          <w:tab w:leader="none" w:pos="19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As of the Closing, the authorized size of the Board shall be seven, and the Board shall be comprised of Stephen Divers, Bradley M. Fluegel, Ravi Sarin, Todd Schonherz, James Stith, William J. Valle and one vacancy.</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and Documents</w:t>
      </w:r>
      <w:r>
        <w:rPr>
          <w:rFonts w:ascii="Times New Roman" w:cs="Times New Roman" w:eastAsia="Times New Roman" w:hAnsi="Times New Roman"/>
          <w:sz w:val="20"/>
          <w:szCs w:val="20"/>
          <w:color w:val="auto"/>
        </w:rPr>
        <w:t>. All corporate and other proceedings in connection with the transactions contemplated at the Closing and all documents incidental thereto shall be reasonably satisfactory in form and substance to the Buyer, and the Buyer shall have received all such counterpart original and certified or other copies of such documents as reasonably requested. Such documents may include good standing certificates.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The Registration Rights Agreement Joinder and the Registration Rights Agreement Amendment shall have been executed by the Company and delivered to the Buyer.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Side Letter</w:t>
      </w:r>
      <w:r>
        <w:rPr>
          <w:rFonts w:ascii="Times New Roman" w:cs="Times New Roman" w:eastAsia="Times New Roman" w:hAnsi="Times New Roman"/>
          <w:sz w:val="20"/>
          <w:szCs w:val="20"/>
          <w:color w:val="auto"/>
        </w:rPr>
        <w:t>. The Side Letter shall have been executed by the Company and delivered to the Buyer.</w:t>
      </w:r>
    </w:p>
    <w:p>
      <w:pPr>
        <w:spacing w:after="0" w:line="21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V.2</w:t>
      </w:r>
      <w:r>
        <w:rPr>
          <w:sz w:val="20"/>
          <w:szCs w:val="20"/>
          <w:color w:val="auto"/>
        </w:rPr>
        <w:tab/>
      </w:r>
      <w:r>
        <w:rPr>
          <w:rFonts w:ascii="Times New Roman" w:cs="Times New Roman" w:eastAsia="Times New Roman" w:hAnsi="Times New Roman"/>
          <w:sz w:val="20"/>
          <w:szCs w:val="20"/>
          <w:b w:val="1"/>
          <w:bCs w:val="1"/>
          <w:u w:val="single" w:color="auto"/>
          <w:color w:val="auto"/>
        </w:rPr>
        <w:t>Conditions to the Company’s Obligations at 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obligations of the Company to sell Shares to the Buyer at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are subject to the fulfillment, on or before the Closing, of each of the following conditions, unless otherwise waived:</w:t>
      </w:r>
    </w:p>
    <w:p>
      <w:pPr>
        <w:spacing w:after="0" w:line="214" w:lineRule="exact"/>
        <w:rPr>
          <w:sz w:val="20"/>
          <w:szCs w:val="20"/>
          <w:color w:val="auto"/>
        </w:rPr>
      </w:pPr>
    </w:p>
    <w:p>
      <w:pPr>
        <w:ind w:firstLine="1304"/>
        <w:spacing w:after="0" w:line="269" w:lineRule="auto"/>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Buyer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true and correct in all respects as of the Closing.</w:t>
      </w:r>
    </w:p>
    <w:p>
      <w:pPr>
        <w:spacing w:after="0" w:line="173" w:lineRule="exact"/>
        <w:rPr>
          <w:sz w:val="20"/>
          <w:szCs w:val="20"/>
          <w:color w:val="auto"/>
        </w:rPr>
      </w:pPr>
    </w:p>
    <w:p>
      <w:pPr>
        <w:ind w:firstLine="1304"/>
        <w:spacing w:after="0" w:line="269" w:lineRule="auto"/>
        <w:tabs>
          <w:tab w:leader="none" w:pos="193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The Buyer shall have performed and complied with all covenants, agreements, obligations and conditions contained in this Agreement that are required to be performed or complied with by them on or before the Closing.</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Qualifications</w:t>
      </w:r>
      <w:r>
        <w:rPr>
          <w:rFonts w:ascii="Times New Roman" w:cs="Times New Roman" w:eastAsia="Times New Roman" w:hAnsi="Times New Roman"/>
          <w:sz w:val="20"/>
          <w:szCs w:val="20"/>
          <w:color w:val="auto"/>
        </w:rPr>
        <w:t>. All Permits if any, that are required in connection with the lawful issuance and sale of the Shares pursuant to this Agreement shall be obtained and effective as of the Closing.</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The Registration Rights Agreement Joinder and the Registration Rights Agreement Amendment shall have been executed by the Buyer and delivered to the Company.</w:t>
      </w:r>
    </w:p>
    <w:p>
      <w:pPr>
        <w:spacing w:after="0" w:line="142" w:lineRule="exact"/>
        <w:rPr>
          <w:sz w:val="20"/>
          <w:szCs w:val="20"/>
          <w:color w:val="auto"/>
        </w:rPr>
      </w:pPr>
    </w:p>
    <w:p>
      <w:pPr>
        <w:ind w:left="3980"/>
        <w:spacing w:after="0"/>
        <w:tabs>
          <w:tab w:leader="none" w:pos="5240" w:val="left"/>
        </w:tabs>
        <w:rPr>
          <w:sz w:val="20"/>
          <w:szCs w:val="20"/>
          <w:color w:val="auto"/>
        </w:rPr>
      </w:pPr>
      <w:r>
        <w:rPr>
          <w:rFonts w:ascii="Times New Roman" w:cs="Times New Roman" w:eastAsia="Times New Roman" w:hAnsi="Times New Roman"/>
          <w:sz w:val="20"/>
          <w:szCs w:val="20"/>
          <w:b w:val="1"/>
          <w:bCs w:val="1"/>
          <w:color w:val="auto"/>
        </w:rPr>
        <w:t>Article VI</w:t>
      </w:r>
      <w:r>
        <w:rPr>
          <w:sz w:val="20"/>
          <w:szCs w:val="20"/>
          <w:color w:val="auto"/>
        </w:rPr>
        <w:tab/>
      </w:r>
      <w:r>
        <w:rPr>
          <w:rFonts w:ascii="Times New Roman" w:cs="Times New Roman" w:eastAsia="Times New Roman" w:hAnsi="Times New Roman"/>
          <w:sz w:val="19"/>
          <w:szCs w:val="19"/>
          <w:b w:val="1"/>
          <w:bCs w:val="1"/>
          <w:color w:val="auto"/>
        </w:rPr>
        <w:t>– 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VI.1 </w:t>
      </w:r>
      <w:r>
        <w:rPr>
          <w:rFonts w:ascii="Times New Roman" w:cs="Times New Roman" w:eastAsia="Times New Roman" w:hAnsi="Times New Roman"/>
          <w:sz w:val="20"/>
          <w:szCs w:val="20"/>
          <w:b w:val="1"/>
          <w:bCs w:val="1"/>
          <w:u w:val="single" w:color="auto"/>
          <w:color w:val="auto"/>
        </w:rPr>
        <w:t>Indemnification by the Buyer</w:t>
      </w:r>
      <w:r>
        <w:rPr>
          <w:rFonts w:ascii="Times New Roman" w:cs="Times New Roman" w:eastAsia="Times New Roman" w:hAnsi="Times New Roman"/>
          <w:sz w:val="20"/>
          <w:szCs w:val="20"/>
          <w:color w:val="auto"/>
        </w:rPr>
        <w:t>. Subject to the terms and conditions of this Agreement, from and after the Closing, the Buyer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defend, indemnify and hold harmless the Company (and its respective Affiliates, and its respective officers, directors, employees, counsel, agents, successors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60" w:lineRule="auto"/>
        <w:rPr>
          <w:sz w:val="20"/>
          <w:szCs w:val="20"/>
          <w:color w:val="auto"/>
        </w:rPr>
      </w:pPr>
      <w:r>
        <w:rPr>
          <w:rFonts w:ascii="Times New Roman" w:cs="Times New Roman" w:eastAsia="Times New Roman" w:hAnsi="Times New Roman"/>
          <w:sz w:val="20"/>
          <w:szCs w:val="20"/>
          <w:color w:val="auto"/>
        </w:rPr>
        <w:t>assigns) (collectively, the “</w:t>
      </w:r>
      <w:r>
        <w:rPr>
          <w:rFonts w:ascii="Times New Roman" w:cs="Times New Roman" w:eastAsia="Times New Roman" w:hAnsi="Times New Roman"/>
          <w:sz w:val="20"/>
          <w:szCs w:val="20"/>
          <w:b w:val="1"/>
          <w:bCs w:val="1"/>
          <w:i w:val="1"/>
          <w:iCs w:val="1"/>
          <w:color w:val="auto"/>
        </w:rPr>
        <w:t>Company Indemnified Parties</w:t>
      </w:r>
      <w:r>
        <w:rPr>
          <w:rFonts w:ascii="Times New Roman" w:cs="Times New Roman" w:eastAsia="Times New Roman" w:hAnsi="Times New Roman"/>
          <w:sz w:val="20"/>
          <w:szCs w:val="20"/>
          <w:color w:val="auto"/>
        </w:rPr>
        <w:t>”) from and against any and all actual losses, damages, liabilities, obligations, fees, fines, amounts paid in settlement, demands, deficiencies, claims, interest, awards, judgments, penalties, costs and expenses (including reasonable attorneys’ fees, costs and other out-of-pocket expenses incurred in investigating or defending the foregoing) (hereinafter collectively, “</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to the extent arising out of or resulting from:</w:t>
      </w:r>
    </w:p>
    <w:p>
      <w:pPr>
        <w:spacing w:after="0" w:line="168" w:lineRule="exact"/>
        <w:rPr>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representation or warranty by the Buyer under this Agreement;</w:t>
      </w:r>
    </w:p>
    <w:p>
      <w:pPr>
        <w:spacing w:after="0" w:line="229"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by the Buyer of, or any failure by the Buyer to perform, any covenant or agreement of, or required to be performed by, the Buyer under this Agreement; or</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and intentional fraud, willful misconduct or criminal acts of the Buyer.</w:t>
      </w:r>
    </w:p>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VI.2 </w:t>
      </w:r>
      <w:r>
        <w:rPr>
          <w:rFonts w:ascii="Times New Roman" w:cs="Times New Roman" w:eastAsia="Times New Roman" w:hAnsi="Times New Roman"/>
          <w:sz w:val="20"/>
          <w:szCs w:val="20"/>
          <w:b w:val="1"/>
          <w:bCs w:val="1"/>
          <w:u w:val="single" w:color="auto"/>
          <w:color w:val="auto"/>
        </w:rPr>
        <w:t>Indemnification by the Company</w:t>
      </w:r>
      <w:r>
        <w:rPr>
          <w:rFonts w:ascii="Times New Roman" w:cs="Times New Roman" w:eastAsia="Times New Roman" w:hAnsi="Times New Roman"/>
          <w:sz w:val="20"/>
          <w:szCs w:val="20"/>
          <w:color w:val="auto"/>
        </w:rPr>
        <w:t>. Subject to the terms and conditions of this Agreement, from and after the Closing,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defend, indemnify and hold harmless the Buyer (and its respective Affiliates, and its respective officers, directors, employees, counsel, agents, successors and assigns) (collectively, the “</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and collectively with the Company Indemnified Parties, the “</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from and against any and all actual Losses to the extent arising out of or resulting from:</w:t>
      </w:r>
    </w:p>
    <w:p>
      <w:pPr>
        <w:spacing w:after="0" w:line="168" w:lineRule="exact"/>
        <w:rPr>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representation or warranty by the Company under this Agreement;</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by the Company of, or any failure by the Company to perform, any covenant or agreement of, or required to be performed by, the Company under this Agreement; or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and intentional fraud, willful misconduct or criminal acts of the Company.</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VI.3 </w:t>
      </w:r>
      <w:r>
        <w:rPr>
          <w:rFonts w:ascii="Times New Roman" w:cs="Times New Roman" w:eastAsia="Times New Roman" w:hAnsi="Times New Roman"/>
          <w:sz w:val="20"/>
          <w:szCs w:val="20"/>
          <w:b w:val="1"/>
          <w:bCs w:val="1"/>
          <w:u w:val="single" w:color="auto"/>
          <w:color w:val="auto"/>
        </w:rPr>
        <w:t>Third Party Claims</w:t>
      </w:r>
      <w:r>
        <w:rPr>
          <w:rFonts w:ascii="Times New Roman" w:cs="Times New Roman" w:eastAsia="Times New Roman" w:hAnsi="Times New Roman"/>
          <w:sz w:val="20"/>
          <w:szCs w:val="20"/>
          <w:color w:val="auto"/>
        </w:rPr>
        <w:t>. An Indemnified Party seeking indemnity as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result of a claim or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asserted in writing by a third party against the Company Indemnified Party (a “</w:t>
      </w:r>
      <w:r>
        <w:rPr>
          <w:rFonts w:ascii="Times New Roman" w:cs="Times New Roman" w:eastAsia="Times New Roman" w:hAnsi="Times New Roman"/>
          <w:sz w:val="20"/>
          <w:szCs w:val="20"/>
          <w:b w:val="1"/>
          <w:bCs w:val="1"/>
          <w:i w:val="1"/>
          <w:iCs w:val="1"/>
          <w:color w:val="auto"/>
        </w:rPr>
        <w:t>Third Party Claim</w:t>
      </w:r>
      <w:r>
        <w:rPr>
          <w:rFonts w:ascii="Times New Roman" w:cs="Times New Roman" w:eastAsia="Times New Roman" w:hAnsi="Times New Roman"/>
          <w:sz w:val="20"/>
          <w:szCs w:val="20"/>
          <w:color w:val="auto"/>
        </w:rPr>
        <w:t>”) shall notify the Person against whom the indemnity is sought (the “</w:t>
      </w:r>
      <w:r>
        <w:rPr>
          <w:rFonts w:ascii="Times New Roman" w:cs="Times New Roman" w:eastAsia="Times New Roman" w:hAnsi="Times New Roman"/>
          <w:sz w:val="20"/>
          <w:szCs w:val="20"/>
          <w:b w:val="1"/>
          <w:bCs w:val="1"/>
          <w:i w:val="1"/>
          <w:iCs w:val="1"/>
          <w:color w:val="auto"/>
        </w:rPr>
        <w:t>Indemnifying Party</w:t>
      </w:r>
      <w:r>
        <w:rPr>
          <w:rFonts w:ascii="Times New Roman" w:cs="Times New Roman" w:eastAsia="Times New Roman" w:hAnsi="Times New Roman"/>
          <w:sz w:val="20"/>
          <w:szCs w:val="20"/>
          <w:color w:val="auto"/>
        </w:rPr>
        <w:t>”) in writing of the Third Party Claim within thirty (30) business days after receipt of such written assertion of a claim or liability describing in reasonable detail to the extent such information is known at the time (a) the facts giving rise to any claim for indemnification hereunder, (b) the amount or method of computation of the amount of such claim, (c) each individual item of Loss included in the amount so stated, to the extent known, and (d) the nature of the breach of representation, warranty, covenant or agreement with respect to which such Indemnified Party claims to be entitled to indemnification hereunder (all of the foregoing, the “</w:t>
      </w:r>
      <w:r>
        <w:rPr>
          <w:rFonts w:ascii="Times New Roman" w:cs="Times New Roman" w:eastAsia="Times New Roman" w:hAnsi="Times New Roman"/>
          <w:sz w:val="20"/>
          <w:szCs w:val="20"/>
          <w:b w:val="1"/>
          <w:bCs w:val="1"/>
          <w:i w:val="1"/>
          <w:iCs w:val="1"/>
          <w:color w:val="auto"/>
        </w:rPr>
        <w:t>Claim Information</w:t>
      </w:r>
      <w:r>
        <w:rPr>
          <w:rFonts w:ascii="Times New Roman" w:cs="Times New Roman" w:eastAsia="Times New Roman" w:hAnsi="Times New Roman"/>
          <w:sz w:val="20"/>
          <w:szCs w:val="20"/>
          <w:color w:val="auto"/>
        </w:rPr>
        <w:t xml:space="preserve">”), and shall provide any other information with respect thereto as the Indemnifying Party may reasonably request. The failure to provide such notice shall not release the Indemnifying Party from any of its obligations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except to the extent that the Indemnifying Party is materially prejudiced by such failure;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Indemnifying Party shall in no event be liable in respect of any Loss, claim or liability from and after the expiration of six (6) months after the date the Indemnified Party receives written assertion of such Loss, claim or liability, unless the Claim Information in respect of such Loss, claim or liability has been provided to the Indemnifying Party pursuant to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The Indemnifying Party shall have the right to defend any such Third Party Claim and control the defense of such Third Party Claim;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Indemnified Party shall have the right to reasonably approve counsel selected by the Indemnifying Party, and if the Indemnifying Party, within ten (10) business days after notice of such Third Party Claim, fails to take appropriate steps to defend such Third Party Claim or the Third Party Claim relates to Taxes, the Indemnified Party will (upon further notice to the Indemnifying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4" w:name="page105"/>
    <w:bookmarkEnd w:id="10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Party) have the right to control the defense of such Third Party Claim on behalf of and for the account and at the risk and expense of the Indemnifying Party. If the Indemnifying Party assumes the defense of such Third Party Claim, the Indemnified Party shall have the right to employ separate counsel and to participate in the defense thereof, but the fees and expenses of such counsel shall be at the expense of the Indemnified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in the reasonable opinion of counsel for the Indemnified Party, there is a conflict of interest between the Indemnified Party and the Indemnifying Party, the Indemnifying Party shall be responsible for the reasonable fees and expenses of one counsel to such Indemnified Party in connection with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settle, compromise, or offer to settle or compromise, any Third Party Claim if the terms of such settlement do not contain a complete release of the Indemnified Party(ies) in connection with such Third Party Claim or (i) would result in the imposition of a consent order, injunction or decree that would restrict the future activity or conduct of the Indemnified Party, (ii) would result in a finding or admission of wrongdoing or violation of Law by the Indemnified Party, (iii) would result in any monetary liability of the Indemnified Party that will not be paid or reimbursed by the Indemnifying Party, or (iv) has a material adverse effect on any ongoing business of the Indemnified Party. Whether or not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 consent shall not be unreasonably withheld, conditioned or delayed.</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VI.4 </w:t>
      </w:r>
      <w:r>
        <w:rPr>
          <w:rFonts w:ascii="Times New Roman" w:cs="Times New Roman" w:eastAsia="Times New Roman" w:hAnsi="Times New Roman"/>
          <w:sz w:val="20"/>
          <w:szCs w:val="20"/>
          <w:b w:val="1"/>
          <w:bCs w:val="1"/>
          <w:u w:val="single" w:color="auto"/>
          <w:color w:val="auto"/>
        </w:rPr>
        <w:t>Direct Claims</w:t>
      </w:r>
      <w:r>
        <w:rPr>
          <w:rFonts w:ascii="Times New Roman" w:cs="Times New Roman" w:eastAsia="Times New Roman" w:hAnsi="Times New Roman"/>
          <w:sz w:val="20"/>
          <w:szCs w:val="20"/>
          <w:color w:val="auto"/>
        </w:rPr>
        <w:t>. If an Indemnified Party becomes aware of any breach of the representations or warranties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Indemnifying Party hereunder or any other basis for indemnification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Indemnified Party shall notify the Indemnifying Party in writing of the same within thirty (30) business days after becoming aware of such breach or claim, with such notice containing the Claim Information, and shall provide any other information with respect thereto as the Indemnifying Party may reasonably request.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Should the Indemnified Party fail to notify the Indemnifying Party within the time frame required above, the Indemnified Party nonetheless shall be entitled to indemnification by the Indemnifying Party to the extent that the Indemnifying Party has not established that it has been materially prejudiced by the failure to receive timely notice.</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VI.5 </w:t>
      </w:r>
      <w:r>
        <w:rPr>
          <w:rFonts w:ascii="Times New Roman" w:cs="Times New Roman" w:eastAsia="Times New Roman" w:hAnsi="Times New Roman"/>
          <w:sz w:val="20"/>
          <w:szCs w:val="20"/>
          <w:b w:val="1"/>
          <w:bCs w:val="1"/>
          <w:u w:val="single" w:color="auto"/>
          <w:color w:val="auto"/>
        </w:rPr>
        <w:t>Scope of Liability</w:t>
      </w:r>
      <w:r>
        <w:rPr>
          <w:rFonts w:ascii="Times New Roman" w:cs="Times New Roman" w:eastAsia="Times New Roman" w:hAnsi="Times New Roman"/>
          <w:sz w:val="20"/>
          <w:szCs w:val="20"/>
          <w:color w:val="auto"/>
        </w:rPr>
        <w:t>. Except in the case of matters relating to fraud, willful misconduct, gross negligence, or criminal acts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equitable relief (including the enforcement of any covenant requiring performance following the Closing), from and after the Closing, the sole and exclusive remedy of any Indemnified Party for any breach of any representation, warranty, covenant or other claim arising out of or relating to this Agreement and/or the transactions contemplated hereby is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Article VII</w:t>
      </w:r>
      <w:r>
        <w:rPr>
          <w:sz w:val="20"/>
          <w:szCs w:val="20"/>
          <w:color w:val="auto"/>
        </w:rPr>
        <w:tab/>
      </w:r>
      <w:r>
        <w:rPr>
          <w:rFonts w:ascii="Times New Roman" w:cs="Times New Roman" w:eastAsia="Times New Roman" w:hAnsi="Times New Roman"/>
          <w:sz w:val="19"/>
          <w:szCs w:val="19"/>
          <w:b w:val="1"/>
          <w:bCs w:val="1"/>
          <w:color w:val="auto"/>
        </w:rPr>
        <w:t>– GENERAL PROVISIONS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VII.1 </w:t>
      </w:r>
      <w:r>
        <w:rPr>
          <w:rFonts w:ascii="Times New Roman" w:cs="Times New Roman" w:eastAsia="Times New Roman" w:hAnsi="Times New Roman"/>
          <w:sz w:val="19"/>
          <w:szCs w:val="19"/>
          <w:b w:val="1"/>
          <w:bCs w:val="1"/>
          <w:u w:val="single" w:color="auto"/>
          <w:color w:val="auto"/>
        </w:rPr>
        <w:t>Additional Assurances</w:t>
      </w:r>
      <w:r>
        <w:rPr>
          <w:rFonts w:ascii="Times New Roman" w:cs="Times New Roman" w:eastAsia="Times New Roman" w:hAnsi="Times New Roman"/>
          <w:sz w:val="19"/>
          <w:szCs w:val="19"/>
          <w:color w:val="auto"/>
        </w:rPr>
        <w:t>. Each of the Parties shall, and shall cause its respective Affiliates to, execute and deliver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documents, instruments, conveyances and assurances and take such additional further actions as may be reasonably required to carry out the provisions hereof and give effect to the transactions contemplated by this Agreement. In addition and without limiting the generality of the preceding sentence, from time to time after the Closing, the Buyer and the Company shall each execute and deliver, or cause to be executed and delivered, such other reasonable instruments of conveyance and transfer, and take such other reasonable actions as any Party may reasonably request, to more effectively convey and transfer full right, title and interest to, vest in, and place the Buyer in legal and actual possession of the Shares, including, in the case of the Company, executing and delivering to the Buyer such assignments, deeds, bills of sale, consents and other instruments as the Buyer or its counsel may reasonably request as necessary or desirable for such purpose.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VII.2 </w:t>
      </w:r>
      <w:r>
        <w:rPr>
          <w:rFonts w:ascii="Times New Roman" w:cs="Times New Roman" w:eastAsia="Times New Roman" w:hAnsi="Times New Roman"/>
          <w:sz w:val="20"/>
          <w:szCs w:val="20"/>
          <w:b w:val="1"/>
          <w:bCs w:val="1"/>
          <w:u w:val="single" w:color="auto"/>
          <w:color w:val="auto"/>
        </w:rPr>
        <w:t>Choice of Law; Venue</w:t>
      </w:r>
      <w:r>
        <w:rPr>
          <w:rFonts w:ascii="Times New Roman" w:cs="Times New Roman" w:eastAsia="Times New Roman" w:hAnsi="Times New Roman"/>
          <w:sz w:val="20"/>
          <w:szCs w:val="20"/>
          <w:color w:val="auto"/>
        </w:rPr>
        <w:t>. All Actions (in contract or tort) arising out of or relating to this Agreement, the negotiation,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or performance of this Agreement, the transactions contemplated hereby, any representation or warranty made in or in connection with this Agreement or as an inducement to enter into this Agreement shall be governed by and construed in accordance with the laws of the State of Delaware (including its statutes of limitations), without regard to conflicts of law principles. The venue of all disputes, claims, and lawsuits arising hereunder shall lie in the state and federal courts located in the State of Delaware. Each Party hereby waives, and agrees not to assert, any defense in any Action arising out of or relating to this Agreement or the transactions contemplated hereby that such Party is not subject thereto or that such Action may not be brought or is not maintainable in such courts or that this Agreement may not be enforced in or by such courts or that such Party’s property is exempt or immune from execution or that such Action is brought in an inconvenient forum or that the venue of such Action is improper.</w:t>
      </w:r>
    </w:p>
    <w:p>
      <w:pPr>
        <w:spacing w:after="0" w:line="17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VII.3 </w:t>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 EACH PARTY HEREBY IRREVOCABLY WAIVES, TO THE FULLEST EXTENT PERMITTED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APPLICABLE LAW, ANY AND ALL RIGHT TO TRIAL BY JURY IN ANY ACTION DIRECTLY OR INDIRECTLY ARISING OUT OF, INVOLVING OR RELATING TO THIS AGREEMENT, ANY OTHER TRANSACTION DOCUMENT OR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ACTION OR PROCEEDING WHATSOEVER AMONG THEM RELATING TO THIS AGREEMENT OR ANY OF THE TRANSACTIONS CONTEMPLATED HEREBY SHALL INSTEAD BE TRIED IN A COURT OF COMPETENT JURISDICTION BY A JUDGE SITTING WITHOUT A JURY.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VII.4 </w:t>
      </w:r>
      <w:r>
        <w:rPr>
          <w:rFonts w:ascii="Times New Roman" w:cs="Times New Roman" w:eastAsia="Times New Roman" w:hAnsi="Times New Roman"/>
          <w:sz w:val="20"/>
          <w:szCs w:val="20"/>
          <w:b w:val="1"/>
          <w:bCs w:val="1"/>
          <w:u w:val="single" w:color="auto"/>
          <w:color w:val="auto"/>
        </w:rPr>
        <w:t>Benefit, Assignment and Third Party Beneficiaries</w:t>
      </w:r>
      <w:r>
        <w:rPr>
          <w:rFonts w:ascii="Times New Roman" w:cs="Times New Roman" w:eastAsia="Times New Roman" w:hAnsi="Times New Roman"/>
          <w:sz w:val="20"/>
          <w:szCs w:val="20"/>
          <w:color w:val="auto"/>
        </w:rPr>
        <w:t>. Subject to provisions herein to the contrary,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inure to the benefit of and be binding upon the Parties and their respective legal representatives, successors and assigns;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Company may not assign this Agreement without the prior written consent of the Buyer;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other than in connection with a distribution of the Shares (or any securities issued or issuable on conversion or exchange thereof) to Buyer’s equity holders, the Buyer may not assign this Agreement without the prior written consent of the Company. This Agreement is intended solely for the benefit of the Parties and is not intended to, and shall not, create any enforceable third party beneficiary rights. Nothing in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shall relieve Buyer of its obligations hereunder, including without limitation its obligation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consummate the transactions contemplated hereby, pay all amounts due hereunder and satisfy its indemnification obligations hereunder.</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VII.5 </w:t>
      </w:r>
      <w:r>
        <w:rPr>
          <w:rFonts w:ascii="Times New Roman" w:cs="Times New Roman" w:eastAsia="Times New Roman" w:hAnsi="Times New Roman"/>
          <w:sz w:val="20"/>
          <w:szCs w:val="20"/>
          <w:b w:val="1"/>
          <w:bCs w:val="1"/>
          <w:u w:val="single" w:color="auto"/>
          <w:color w:val="auto"/>
        </w:rPr>
        <w:t>Cost of Transaction</w:t>
      </w:r>
      <w:r>
        <w:rPr>
          <w:rFonts w:ascii="Times New Roman" w:cs="Times New Roman" w:eastAsia="Times New Roman" w:hAnsi="Times New Roman"/>
          <w:sz w:val="20"/>
          <w:szCs w:val="20"/>
          <w:color w:val="auto"/>
        </w:rPr>
        <w:t>. The Company, at the direction of the Buyer, will pay those reasonable transaction expenses,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fees, advisory fees, and debt fees incurred by the Buyer in connection with the preparation, negotiation and execution of this Agreement and the Transaction Documents, and the performance and consummation of the transactions contemplated hereby and thereby.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VII.6 </w:t>
      </w:r>
      <w:r>
        <w:rPr>
          <w:rFonts w:ascii="Times New Roman" w:cs="Times New Roman" w:eastAsia="Times New Roman" w:hAnsi="Times New Roman"/>
          <w:sz w:val="20"/>
          <w:szCs w:val="20"/>
          <w:b w:val="1"/>
          <w:bCs w:val="1"/>
          <w:u w:val="single" w:color="auto"/>
          <w:color w:val="auto"/>
        </w:rPr>
        <w:t>Public Announcements</w:t>
      </w:r>
      <w:r>
        <w:rPr>
          <w:rFonts w:ascii="Times New Roman" w:cs="Times New Roman" w:eastAsia="Times New Roman" w:hAnsi="Times New Roman"/>
          <w:sz w:val="20"/>
          <w:szCs w:val="20"/>
          <w:color w:val="auto"/>
        </w:rPr>
        <w:t>. No Party shall release, publish or otherwise make available to the public in any manner whatsoever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information or announcement regarding the transactions herein contemplated without the prior written consent of the other Parties, except for information and filings (a) reasonably necessary to be directed to Governmental Authorities to fully and lawfully effect the transactions herein contemplated or (b) required under Law or the rules of any stock exchange applicable to a Party or its Affiliates, in which case, the Party issuing such information or announcement shall provide written notice and a copy of such required information disclosure or announcement to the other Parties not less than two (2) business days prior to the date of such disclosure or announcement. Nothing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prevent the Buyer from disclosing the transactions herein contemplated to the limited partners or potential limited partners of the Buyer or their Affiliates.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VII.7 </w:t>
      </w:r>
      <w:r>
        <w:rPr>
          <w:rFonts w:ascii="Times New Roman" w:cs="Times New Roman" w:eastAsia="Times New Roman" w:hAnsi="Times New Roman"/>
          <w:sz w:val="20"/>
          <w:szCs w:val="20"/>
          <w:b w:val="1"/>
          <w:bCs w:val="1"/>
          <w:u w:val="single" w:color="auto"/>
          <w:color w:val="auto"/>
        </w:rPr>
        <w:t>Waiver of Breach</w:t>
      </w:r>
      <w:r>
        <w:rPr>
          <w:rFonts w:ascii="Times New Roman" w:cs="Times New Roman" w:eastAsia="Times New Roman" w:hAnsi="Times New Roman"/>
          <w:sz w:val="20"/>
          <w:szCs w:val="20"/>
          <w:color w:val="auto"/>
        </w:rPr>
        <w:t>. Except as may be provided to the contrary elsewhere herein, no delay or omission by any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any right or power under this Agreement or pursuant to Law shall impair such right or power or be construed as a waiver thereof. The waiver by any Party of any representation, warranty, covenant or condition, breach or violation of any provision of this Agreement shall not operate as, or be construed to constitute, a waiver of any subsequent breach of the same or any other provision hereof. Any agreement on the part of either Party to any such waiver shall be valid only if set forth in a written instrument executed and delivered by a duly authorized officer on behalf of such Party.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VII.8 </w:t>
      </w: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Any notice, demand or communication required, permitted or desired to be given hereunder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effectively given when personally delivered with signed receipt, when delivered by electronic mail with electronic confirmation of delivery (unless not delivered on a business day or delivered after 5:00 p.m. Eastern Time on a business day, in which case such delivery shall be deemed effective on the next succeeding business day), when delivered by overnight courier with signed receipt, or when delivered by registered United States mail, with postage prepaid and return receipt requested, addressed to the addresses below or to such other address as any Party may designate, with copies thereof to the respective counsel thereof as notified by such Party.</w:t>
      </w:r>
    </w:p>
    <w:p>
      <w:pPr>
        <w:spacing w:after="0" w:line="17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Buyer:</w:t>
      </w:r>
      <w:r>
        <w:rPr>
          <w:sz w:val="20"/>
          <w:szCs w:val="20"/>
          <w:color w:val="auto"/>
        </w:rPr>
        <w:tab/>
      </w:r>
      <w:r>
        <w:rPr>
          <w:rFonts w:ascii="Times New Roman" w:cs="Times New Roman" w:eastAsia="Times New Roman" w:hAnsi="Times New Roman"/>
          <w:sz w:val="19"/>
          <w:szCs w:val="19"/>
          <w:color w:val="auto"/>
        </w:rPr>
        <w:t>c/o AEA Growth Management 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520 Madison Avenue 40th Floor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compliance@aeainvestors.com</w:t>
      </w: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Cooley LLP</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3175 Hanover Street</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Palo Alto, CA 94304</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Sepideh Mousakhani and Milson Yu</w:t>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-35-</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7" w:name="page108"/>
    <w:bookmarkEnd w:id="107"/>
    <w:p>
      <w:pPr>
        <w:ind w:left="3240"/>
        <w:spacing w:after="0"/>
        <w:rPr>
          <w:sz w:val="20"/>
          <w:szCs w:val="20"/>
          <w:color w:val="auto"/>
        </w:rPr>
      </w:pPr>
      <w:r>
        <w:rPr>
          <w:rFonts w:ascii="Times New Roman" w:cs="Times New Roman" w:eastAsia="Times New Roman" w:hAnsi="Times New Roman"/>
          <w:sz w:val="20"/>
          <w:szCs w:val="20"/>
          <w:color w:val="auto"/>
        </w:rPr>
        <w:t>Email: smousakhani@cooley.com; myu@cooley.com</w:t>
      </w:r>
    </w:p>
    <w:p>
      <w:pPr>
        <w:spacing w:after="0" w:line="25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19"/>
          <w:szCs w:val="19"/>
          <w:color w:val="auto"/>
        </w:rPr>
        <w:t>American Oncology Network, Inc.</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14543 Global Pkwy, Suite 110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Fort Myers, FL 33913</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Todd Schonherz, Chief Executive Officer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todd.schonherz@aoncology.com</w:t>
      </w: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Dentons US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1221 Avenue of the Americas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York, NY 10020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Brian Lee</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brian.lee@dentons.com</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VII.9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the event any provision (or portion thereof) of this Agreement, or the application of any such provision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portion thereof) to any Person or circumstance, is held to be invalid, illegal or unenforceable for any reason and in any respect, such invalidity, illegality, or unenforceability shall in no event affect, prejudice or disturb the validity of the remainder of this Agreement, which shall be and remain in full force and effect, enforceable in accordance with its terms.</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VII.10 </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color w:val="auto"/>
        </w:rPr>
        <w:t>. In the interpretation of this Agreement, except where the context otherwise requires, (a) “including”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“include” does not denote or imply any limitation, (b) “or” has the inclusive meaning “and/or,” (c) “and/or” means “or” and is used for emphasis only, (d) “$” refers to United States dollars, (e) the singular includes the plural, and vice versa, and each gender includes each other gender, (f) the table of contents, captions and headings are only for reference and shall not affect in any way the meaning or interpretation of this Agreement, (g) “Section” refers to a section of this Agreement, unless otherwise stated in this Agreement, (h) “Exhibit” refers to an exhibit to this Agreement (which is incorporated herein by reference), unless otherwise stated in this Agreement, (i) “Schedule” refers to a section of the Disclosure Schedule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and incorporates any attachments thereto (which are incorporated herein by reference), unless otherwise stated in this Agreement, (j) all references to times are times in Eastern Time, (k) “day” refers to a calendar day unless expressly identified as a “business day,” which means any day that is not a Saturday, Sunday, or official federal holiday in the United States, (l) any capitalized terms used in any Schedule or Exhibit, but not otherwise defined therein, shall have the meaning as defined herein,</w:t>
      </w:r>
    </w:p>
    <w:p>
      <w:pPr>
        <w:spacing w:after="0" w:line="3" w:lineRule="exact"/>
        <w:rPr>
          <w:sz w:val="20"/>
          <w:szCs w:val="20"/>
          <w:color w:val="auto"/>
        </w:rPr>
      </w:pPr>
    </w:p>
    <w:p>
      <w:pPr>
        <w:jc w:val="both"/>
        <w:ind w:firstLine="8"/>
        <w:spacing w:after="0" w:line="249" w:lineRule="auto"/>
        <w:tabs>
          <w:tab w:leader="none" w:pos="33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(n) references to a Person are also to its permitted successors and assigns and (o) the terms “hereof”, “hereunder” and “herein” and words of similar import shall be construed to refer to this Agreement as a whole (including all Exhibits hereto) and not to any particular provision of this Agreement.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VII.11 </w:t>
      </w:r>
      <w:r>
        <w:rPr>
          <w:rFonts w:ascii="Times New Roman" w:cs="Times New Roman" w:eastAsia="Times New Roman" w:hAnsi="Times New Roman"/>
          <w:sz w:val="20"/>
          <w:szCs w:val="20"/>
          <w:b w:val="1"/>
          <w:bCs w:val="1"/>
          <w:u w:val="single" w:color="auto"/>
          <w:color w:val="auto"/>
        </w:rPr>
        <w:t>Entire Agreement, Amendments and Counterparts</w:t>
      </w:r>
      <w:r>
        <w:rPr>
          <w:rFonts w:ascii="Times New Roman" w:cs="Times New Roman" w:eastAsia="Times New Roman" w:hAnsi="Times New Roman"/>
          <w:sz w:val="20"/>
          <w:szCs w:val="20"/>
          <w:color w:val="auto"/>
        </w:rPr>
        <w:t>. This Agreement and the other Transaction Documents supersede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 Contracts, statements, representations, warranties, covenants, agreements or prior written material between the Parties regarding the subject matter hereof and thereof and constitute the entire agreement existing between or among the Parties respecting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50" w:lineRule="auto"/>
        <w:rPr>
          <w:sz w:val="20"/>
          <w:szCs w:val="20"/>
          <w:color w:val="auto"/>
        </w:rPr>
      </w:pPr>
      <w:r>
        <w:rPr>
          <w:rFonts w:ascii="Times New Roman" w:cs="Times New Roman" w:eastAsia="Times New Roman" w:hAnsi="Times New Roman"/>
          <w:sz w:val="20"/>
          <w:szCs w:val="20"/>
          <w:color w:val="auto"/>
        </w:rPr>
        <w:t>subject matter hereof and thereof, and no Party shall be entitled to benefits other than those specified herein and therein. As between or among the Parties, no oral statements, representations, warranties, covenants, agreements or prior written material not specifically incorporated herein shall be of any force and effect, and neither Party is relying on any such oral statements, representations, warranties, covenants, agreements or prior written material. All prior statements, representations, warranties, covenants, agreements or material, whether written or oral, not expressly incorporated herein are superseded and no changes in or additions to this Agreement shall be recognized unless and until made in writing and signed by all Parties. This Agreement may be executed in counterparts, each and all of which shall be deemed an original and all of which together shall constitute but one and the same instrument. Signatures received via facsimile or other electronic transmission shall be accepted as originals. Notwithstanding any oral agreement or course of conduct of the Parties or their Representatives to the contrary, no Party shall be under any legal obligation to enter into or complete the transactions contemplated hereby unless and until this Agreement shall have been executed and delivered, or caused to be delivered, by each Party. This Agreement may not be amended except by an instrument in writing signed on behalf of each Party.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VII.12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The Parties agree that irreparable damage would occur in the event that any of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were not performed in accordance with their specific terms or were otherwise breached. Accordingly, each Party shall be entitled to specific performance of the terms hereof, including an injunction or injunctions to prevent breaches of this Agreement and to enforce specifically the terms and provisions of this Agreement, without proof of actual damages (and each Party waives any requirement for the securing or posting of any bond in connection with such remedy), this being in addition to any other remedy to which such Party is entitled at law or in equity. Each Party hereby further waives (i) any defense in any Action for specific performance that a remedy at law would be adequate, and (ii) any requirement under any Law to post security or bond as a prerequisite to obtaining equitable relief.</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VII.13 </w:t>
      </w:r>
      <w:r>
        <w:rPr>
          <w:rFonts w:ascii="Times New Roman" w:cs="Times New Roman" w:eastAsia="Times New Roman" w:hAnsi="Times New Roman"/>
          <w:sz w:val="20"/>
          <w:szCs w:val="20"/>
          <w:b w:val="1"/>
          <w:bCs w:val="1"/>
          <w:u w:val="single" w:color="auto"/>
          <w:color w:val="auto"/>
        </w:rPr>
        <w:t>Personal Liability</w:t>
      </w:r>
      <w:r>
        <w:rPr>
          <w:rFonts w:ascii="Times New Roman" w:cs="Times New Roman" w:eastAsia="Times New Roman" w:hAnsi="Times New Roman"/>
          <w:sz w:val="20"/>
          <w:szCs w:val="20"/>
          <w:color w:val="auto"/>
        </w:rPr>
        <w:t>. This Agreement shall not create or be deemed to create or permit any personal liability or obligation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 of any direct or indirect equity holder of any Party or any officer, director, employee, investor or other Representative of any Party.</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VII.14 </w:t>
      </w:r>
      <w:r>
        <w:rPr>
          <w:rFonts w:ascii="Times New Roman" w:cs="Times New Roman" w:eastAsia="Times New Roman" w:hAnsi="Times New Roman"/>
          <w:sz w:val="20"/>
          <w:szCs w:val="20"/>
          <w:b w:val="1"/>
          <w:bCs w:val="1"/>
          <w:u w:val="single" w:color="auto"/>
          <w:color w:val="auto"/>
        </w:rPr>
        <w:t>Disclosure Generally</w:t>
      </w:r>
      <w:r>
        <w:rPr>
          <w:rFonts w:ascii="Times New Roman" w:cs="Times New Roman" w:eastAsia="Times New Roman" w:hAnsi="Times New Roman"/>
          <w:sz w:val="20"/>
          <w:szCs w:val="20"/>
          <w:color w:val="auto"/>
        </w:rPr>
        <w:t>. The fact that any item of information is disclosed in any Schedule shall not be construed to mean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information is required to be disclosed by this Agreement. Such information and the dollar thresholds set forth herein shall not be used as a basis for interpreting the terms “material” or “Material Adverse Change” or other similar terms in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VII.15 </w:t>
      </w:r>
      <w:r>
        <w:rPr>
          <w:rFonts w:ascii="Times New Roman" w:cs="Times New Roman" w:eastAsia="Times New Roman" w:hAnsi="Times New Roman"/>
          <w:sz w:val="20"/>
          <w:szCs w:val="20"/>
          <w:b w:val="1"/>
          <w:bCs w:val="1"/>
          <w:u w:val="single" w:color="auto"/>
          <w:color w:val="auto"/>
        </w:rPr>
        <w:t>Time of Essence</w:t>
      </w:r>
      <w:r>
        <w:rPr>
          <w:rFonts w:ascii="Times New Roman" w:cs="Times New Roman" w:eastAsia="Times New Roman" w:hAnsi="Times New Roman"/>
          <w:sz w:val="20"/>
          <w:szCs w:val="20"/>
          <w:color w:val="auto"/>
        </w:rPr>
        <w:t>. Time is of the essence with regard to all dates and time periods set forth or referred to in this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-37-</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9" w:name="page110"/>
    <w:bookmarkEnd w:id="109"/>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Class A Common Stock Purchase Agreement to be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officers as of the Effective Date.</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94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10" w:name="page111"/>
    <w:bookmarkEnd w:id="110"/>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Class A Common Stock Purchase Agreement to be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officers as of the Effective Date.</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Aggregator LLC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11" w:name="page112"/>
    <w:bookmarkEnd w:id="111"/>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AMENDMENT NO. 1 TO AMENDED AND RESTATED REGISTRATION RIGHTS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dated as of November 12, 2024, by and among American Oncology Network,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AEA Growth Equity Fund LP and AEA Growth Equity Fund (Parallel) LP (collectively, “</w:t>
      </w:r>
      <w:r>
        <w:rPr>
          <w:rFonts w:ascii="Times New Roman" w:cs="Times New Roman" w:eastAsia="Times New Roman" w:hAnsi="Times New Roman"/>
          <w:sz w:val="20"/>
          <w:szCs w:val="20"/>
          <w:b w:val="1"/>
          <w:bCs w:val="1"/>
          <w:color w:val="auto"/>
        </w:rPr>
        <w:t>AEA Growth</w:t>
      </w:r>
      <w:r>
        <w:rPr>
          <w:rFonts w:ascii="Times New Roman" w:cs="Times New Roman" w:eastAsia="Times New Roman" w:hAnsi="Times New Roman"/>
          <w:sz w:val="20"/>
          <w:szCs w:val="20"/>
          <w:color w:val="auto"/>
        </w:rPr>
        <w:t>”), AEA AON Purchaser LLC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and AEA AON Aggregator LLC (“</w:t>
      </w:r>
      <w:r>
        <w:rPr>
          <w:rFonts w:ascii="Times New Roman" w:cs="Times New Roman" w:eastAsia="Times New Roman" w:hAnsi="Times New Roman"/>
          <w:sz w:val="20"/>
          <w:szCs w:val="20"/>
          <w:b w:val="1"/>
          <w:bCs w:val="1"/>
          <w:color w:val="auto"/>
        </w:rPr>
        <w:t>Aggregator</w:t>
      </w:r>
      <w:r>
        <w:rPr>
          <w:rFonts w:ascii="Times New Roman" w:cs="Times New Roman" w:eastAsia="Times New Roman" w:hAnsi="Times New Roman"/>
          <w:sz w:val="20"/>
          <w:szCs w:val="20"/>
          <w:color w:val="auto"/>
        </w:rPr>
        <w:t>”). Terms used but not otherwise defined herein shall have the respective meanings ascribed to them in that certain Amended and Restated Registration Rights Agreement dated as of September 20, 2023 (the “</w:t>
      </w:r>
      <w:r>
        <w:rPr>
          <w:rFonts w:ascii="Times New Roman" w:cs="Times New Roman" w:eastAsia="Times New Roman" w:hAnsi="Times New Roman"/>
          <w:sz w:val="20"/>
          <w:szCs w:val="20"/>
          <w:b w:val="1"/>
          <w:bCs w:val="1"/>
          <w:color w:val="auto"/>
        </w:rPr>
        <w:t>Registration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Aggregator is party to the Registration Rights Agreement pursuant to that certain Joinder, dated November 12, 2024;</w:t>
      </w:r>
    </w:p>
    <w:p>
      <w:pPr>
        <w:spacing w:after="0" w:line="24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Purchaser and Aggregator are, collectively, the holder of a majority-in-interest of the Registrable Securities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hereof;</w:t>
      </w:r>
    </w:p>
    <w:p>
      <w:pPr>
        <w:spacing w:after="0" w:line="16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7.7 of the Registration Rights Agreement, the Holders of a majority-in-interest of the Registrable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(which majority-in-interest must include AEA) (the “</w:t>
      </w:r>
      <w:r>
        <w:rPr>
          <w:rFonts w:ascii="Times New Roman" w:cs="Times New Roman" w:eastAsia="Times New Roman" w:hAnsi="Times New Roman"/>
          <w:sz w:val="20"/>
          <w:szCs w:val="20"/>
          <w:b w:val="1"/>
          <w:bCs w:val="1"/>
          <w:i w:val="1"/>
          <w:iCs w:val="1"/>
          <w:color w:val="auto"/>
        </w:rPr>
        <w:t>Requisite Holders</w:t>
      </w:r>
      <w:r>
        <w:rPr>
          <w:rFonts w:ascii="Times New Roman" w:cs="Times New Roman" w:eastAsia="Times New Roman" w:hAnsi="Times New Roman"/>
          <w:sz w:val="20"/>
          <w:szCs w:val="20"/>
          <w:color w:val="auto"/>
        </w:rPr>
        <w:t>”), with the consent of the Company, may amend and modify the Registration Rights Agreement; 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undersigned constitute the Requisite Holders; and</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the Aggregator are parties to that certain Class A Common Stock Purchase Agreement, dated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about the date hereof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under which the obligations of the Company and Aggregator are conditioned upon the execution and delivery of this Amendment.</w:t>
      </w:r>
    </w:p>
    <w:p>
      <w:pPr>
        <w:spacing w:after="0" w:line="20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for good and valuable consideration, the receipt and sufficiency of which are hereby acknowledged,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hereby agree as follows:</w:t>
      </w:r>
    </w:p>
    <w:p>
      <w:pPr>
        <w:spacing w:after="0" w:line="192"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to Registration Rights Agreement</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ind w:right="20" w:firstLine="1385"/>
        <w:spacing w:after="0" w:line="283" w:lineRule="auto"/>
        <w:tabs>
          <w:tab w:leader="none" w:pos="193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“AEA” set forth in Section 1 of the Registration Rights Agreement is hereby amended and restated in its entirety to read as follows:</w:t>
      </w:r>
    </w:p>
    <w:p>
      <w:pPr>
        <w:spacing w:after="0" w:line="183" w:lineRule="exact"/>
        <w:rPr>
          <w:sz w:val="20"/>
          <w:szCs w:val="20"/>
          <w:color w:val="auto"/>
        </w:rPr>
      </w:pPr>
    </w:p>
    <w:p>
      <w:pPr>
        <w:jc w:val="both"/>
        <w:ind w:left="660" w:right="64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AEA</w:t>
      </w:r>
      <w:r>
        <w:rPr>
          <w:rFonts w:ascii="Times New Roman" w:cs="Times New Roman" w:eastAsia="Times New Roman" w:hAnsi="Times New Roman"/>
          <w:sz w:val="20"/>
          <w:szCs w:val="20"/>
          <w:color w:val="auto"/>
        </w:rPr>
        <w:t>” means, collectively, AEA AON Purchaser LLC, AEA AON Aggregator LLC, AEA Growth Equity Fund LP, AEA Growth Equity Fund (Parallel) LP and any Affiliates of the foregoing; provided, that, with respect to references to any “request,” “consent” or similar of AEA, “AEA” shall mean AEA Growth Equity Fund LP or any Person that, directly or indirectly, controls AEA Growth Equity Fund LP.</w:t>
      </w:r>
    </w:p>
    <w:p>
      <w:pPr>
        <w:spacing w:after="0" w:line="147" w:lineRule="exact"/>
        <w:rPr>
          <w:sz w:val="20"/>
          <w:szCs w:val="20"/>
          <w:color w:val="auto"/>
        </w:rPr>
      </w:pPr>
    </w:p>
    <w:p>
      <w:pPr>
        <w:ind w:left="1940" w:hanging="555"/>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8 shall be inserted immediately following Section 7 of the Registration Rights Agreement reading in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entirety as follows:</w:t>
      </w:r>
    </w:p>
    <w:p>
      <w:pPr>
        <w:spacing w:after="0" w:line="223" w:lineRule="exact"/>
        <w:rPr>
          <w:sz w:val="20"/>
          <w:szCs w:val="20"/>
          <w:color w:val="auto"/>
        </w:rPr>
      </w:pPr>
    </w:p>
    <w:p>
      <w:pPr>
        <w:ind w:left="660" w:right="6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8 Suspension of Obligations. </w:t>
      </w:r>
      <w:r>
        <w:rPr>
          <w:rFonts w:ascii="Times New Roman" w:cs="Times New Roman" w:eastAsia="Times New Roman" w:hAnsi="Times New Roman"/>
          <w:sz w:val="20"/>
          <w:szCs w:val="20"/>
          <w:color w:val="auto"/>
        </w:rPr>
        <w:t>Notwithstanding any provision to the contrary, for so long as the Company is eligible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suspend its duty to file reports under section 15(d)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309806266 v4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9" w:lineRule="exact"/>
        <w:rPr>
          <w:sz w:val="20"/>
          <w:szCs w:val="20"/>
          <w:color w:val="auto"/>
        </w:rPr>
      </w:pPr>
    </w:p>
    <w:p>
      <w:pPr>
        <w:jc w:val="both"/>
        <w:ind w:left="640" w:right="660"/>
        <w:spacing w:after="0" w:line="258" w:lineRule="auto"/>
        <w:rPr>
          <w:sz w:val="20"/>
          <w:szCs w:val="20"/>
          <w:color w:val="auto"/>
        </w:rPr>
      </w:pPr>
      <w:r>
        <w:rPr>
          <w:rFonts w:ascii="Times New Roman" w:cs="Times New Roman" w:eastAsia="Times New Roman" w:hAnsi="Times New Roman"/>
          <w:sz w:val="20"/>
          <w:szCs w:val="20"/>
          <w:color w:val="auto"/>
        </w:rPr>
        <w:t>the Exchange Act and such duty is actually suspended, neither the Company nor any Holder that is not an executive officer or director of the Company shall have any obligations under Sections 2.1, 2.2, 2.4, 3, 5 and 6 of this Agreement, and the Company may, at its discretion file amendments to any Registration Statement(s) to terminate any offerings related thereto, and to cease to file any reports under the under the Securities Act and the Exchange Act.</w:t>
      </w:r>
    </w:p>
    <w:p>
      <w:pPr>
        <w:spacing w:after="0" w:line="213" w:lineRule="exact"/>
        <w:rPr>
          <w:sz w:val="20"/>
          <w:szCs w:val="20"/>
          <w:color w:val="auto"/>
        </w:rPr>
      </w:pPr>
    </w:p>
    <w:p>
      <w:pPr>
        <w:ind w:left="1920" w:hanging="636"/>
        <w:spacing w:after="0"/>
        <w:tabs>
          <w:tab w:leader="none" w:pos="19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7.7 of the Registration Rights Agreement is hereby amended and restated in its entirety to read as follows:</w:t>
      </w:r>
    </w:p>
    <w:p>
      <w:pPr>
        <w:spacing w:after="0" w:line="239" w:lineRule="exact"/>
        <w:rPr>
          <w:sz w:val="20"/>
          <w:szCs w:val="20"/>
          <w:color w:val="auto"/>
        </w:rPr>
      </w:pPr>
    </w:p>
    <w:p>
      <w:pPr>
        <w:jc w:val="both"/>
        <w:ind w:left="640" w:right="640"/>
        <w:spacing w:after="0" w:line="251" w:lineRule="auto"/>
        <w:rPr>
          <w:sz w:val="20"/>
          <w:szCs w:val="20"/>
          <w:color w:val="auto"/>
        </w:rPr>
      </w:pPr>
      <w:r>
        <w:rPr>
          <w:rFonts w:ascii="Times New Roman" w:cs="Times New Roman" w:eastAsia="Times New Roman" w:hAnsi="Times New Roman"/>
          <w:sz w:val="20"/>
          <w:szCs w:val="20"/>
          <w:b w:val="1"/>
          <w:bCs w:val="1"/>
          <w:color w:val="auto"/>
        </w:rPr>
        <w:t>7.7 Modifications and Amendments</w:t>
      </w:r>
      <w:r>
        <w:rPr>
          <w:rFonts w:ascii="Times New Roman" w:cs="Times New Roman" w:eastAsia="Times New Roman" w:hAnsi="Times New Roman"/>
          <w:sz w:val="20"/>
          <w:szCs w:val="20"/>
          <w:color w:val="auto"/>
        </w:rPr>
        <w:t>. Upon the written consent of (i) the Company and (ii) the Holders of at least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majority-in-interest of the Registrable Securities at the time in question (which must include the holders of a majority-in-interest of the Registrable Securities held by AEA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the Sponsor or one Holder, solely in his, her or its capacity as a holder of the shares of capital stock of the Company, in a manner that is materially different from the other Holders (in such capacity), shall require the consent of the Sponsor or Holder so affected. No course of dealing between the Sponsor, any Holder or the Company and any other party hereto or any failure or delay on the part of the Sponsor, a Holder or the Company in exercising any rights or remedies under this Agreement shall operate as a waiver of any rights or remedies of the Sponsor, any Holder or the Company. No single or partial exercise of any rights or remedies under this Agreement by a party shall operate as a waiver or preclude the exercise of any other rights or remedies hereunder or thereunder by such party.</w:t>
      </w:r>
    </w:p>
    <w:p>
      <w:pPr>
        <w:spacing w:after="0" w:line="151" w:lineRule="exact"/>
        <w:rPr>
          <w:sz w:val="20"/>
          <w:szCs w:val="20"/>
          <w:color w:val="auto"/>
        </w:rPr>
      </w:pPr>
    </w:p>
    <w:p>
      <w:pPr>
        <w:ind w:left="1280" w:hanging="644"/>
        <w:spacing w:after="0"/>
        <w:tabs>
          <w:tab w:leader="none" w:pos="128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ind w:left="1920" w:hanging="636"/>
        <w:spacing w:after="0"/>
        <w:tabs>
          <w:tab w:leader="none" w:pos="19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the Registration Rights Agreement shall remain in full force and effect.</w:t>
      </w:r>
    </w:p>
    <w:p>
      <w:pPr>
        <w:spacing w:after="0" w:line="256" w:lineRule="exact"/>
        <w:rPr>
          <w:rFonts w:ascii="Times New Roman" w:cs="Times New Roman" w:eastAsia="Times New Roman" w:hAnsi="Times New Roman"/>
          <w:sz w:val="20"/>
          <w:szCs w:val="20"/>
          <w:color w:val="auto"/>
        </w:rPr>
      </w:pPr>
    </w:p>
    <w:p>
      <w:pPr>
        <w:ind w:left="-20" w:firstLine="1304"/>
        <w:spacing w:after="0" w:line="283" w:lineRule="auto"/>
        <w:tabs>
          <w:tab w:leader="none" w:pos="191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the laws of the State of Delaware, regardless of the laws that might otherwise govern under applicable principles of choice of law.</w:t>
      </w:r>
    </w:p>
    <w:p>
      <w:pPr>
        <w:spacing w:after="0" w:line="173" w:lineRule="exact"/>
        <w:rPr>
          <w:rFonts w:ascii="Times New Roman" w:cs="Times New Roman" w:eastAsia="Times New Roman" w:hAnsi="Times New Roman"/>
          <w:sz w:val="20"/>
          <w:szCs w:val="20"/>
          <w:color w:val="auto"/>
        </w:rPr>
      </w:pPr>
    </w:p>
    <w:p>
      <w:pPr>
        <w:jc w:val="both"/>
        <w:ind w:left="-20" w:firstLine="1304"/>
        <w:spacing w:after="0" w:line="261" w:lineRule="auto"/>
        <w:tabs>
          <w:tab w:leader="none" w:pos="191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any number of counterparts (including via PDF or any electronic signature complying with the U.S. federal ESIGN Act of 2000, e.g., www.docusign.com), each of which shall be deemed an original, but all of which when taken together shall constitute one and the same instrument.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309806266 v4</w:t>
      </w:r>
    </w:p>
    <w:p>
      <w:pPr>
        <w:sectPr>
          <w:pgSz w:w="11900" w:h="16838" w:orient="portrait"/>
          <w:cols w:equalWidth="0" w:num="1">
            <w:col w:w="11220"/>
          </w:cols>
          <w:pgMar w:left="340" w:top="1440" w:right="339" w:bottom="1440" w:gutter="0" w:footer="0" w:header="0"/>
        </w:sectPr>
      </w:pPr>
    </w:p>
    <w:bookmarkStart w:id="113" w:name="page114"/>
    <w:bookmarkEnd w:id="113"/>
    <w:p>
      <w:pPr>
        <w:spacing w:after="0" w:line="14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1 to Amended and Restated Registration Rights Agreement as of the date first written above.</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Todd Schonherz</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4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1 to Amended and Restated Registration Rights Agreement as of the date first written above.</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PURCHASER LLC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AON Aggregator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Member</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AGGREGATOR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AGGREGATOR LLC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 its general partner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 its general partner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(PARALLEL) LP</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 its general partner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 its general partner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Registration Rights Agreement]</w:t>
      </w:r>
    </w:p>
    <w:p>
      <w:pPr>
        <w:sectPr>
          <w:pgSz w:w="11900" w:h="16838" w:orient="portrait"/>
          <w:cols w:equalWidth="0" w:num="1">
            <w:col w:w="9019"/>
          </w:cols>
          <w:pgMar w:left="1440" w:top="144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AEA GROWTH MANAGEMENT LP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July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7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Section VI.1  Additional AEA Parties.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20"/>
          </w:cols>
          <w:pgMar w:left="320" w:top="1409"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STOCKHOLDERS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18, 2024 between American Oncology Network,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AEA Growth Equity Fund LP and AEA Growth Equity Fund (Parallel) LP, each a Delaware limited partnership (collectively, “</w:t>
      </w:r>
      <w:r>
        <w:rPr>
          <w:rFonts w:ascii="Times New Roman" w:cs="Times New Roman" w:eastAsia="Times New Roman" w:hAnsi="Times New Roman"/>
          <w:sz w:val="20"/>
          <w:szCs w:val="20"/>
          <w:u w:val="single" w:color="auto"/>
          <w:color w:val="auto"/>
        </w:rPr>
        <w:t>AEA</w:t>
      </w:r>
      <w:r>
        <w:rPr>
          <w:rFonts w:ascii="Times New Roman" w:cs="Times New Roman" w:eastAsia="Times New Roman" w:hAnsi="Times New Roman"/>
          <w:sz w:val="20"/>
          <w:szCs w:val="20"/>
          <w:color w:val="auto"/>
        </w:rPr>
        <w:t>”). This Agreement shall be effective upon the date of consummation of any transaction that results in the AEA Parties being the beneficial owner, directly or indirectly, of more than 40% of the outstanding voting power of the Company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AEA has agreed to enter into this stockholders agreement with the Company to provide for reasonable and customary protections of the Company’s minority stockholders.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consideration of the foregoing and the mutual covenants and agreements herein contained, and intending to be legally bound hereby, the parties agree as follows: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3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I.1</w:t>
      </w:r>
      <w:r>
        <w:rPr>
          <w:sz w:val="20"/>
          <w:szCs w:val="20"/>
          <w:color w:val="auto"/>
        </w:rPr>
        <w:tab/>
      </w:r>
      <w:r>
        <w:rPr>
          <w:rFonts w:ascii="Times New Roman" w:cs="Times New Roman" w:eastAsia="Times New Roman" w:hAnsi="Times New Roman"/>
          <w:sz w:val="19"/>
          <w:szCs w:val="19"/>
          <w:u w:val="single" w:color="auto"/>
          <w:color w:val="auto"/>
        </w:rPr>
        <w:t>Certain Defined Terms</w:t>
      </w:r>
      <w:r>
        <w:rPr>
          <w:rFonts w:ascii="Times New Roman" w:cs="Times New Roman" w:eastAsia="Times New Roman" w:hAnsi="Times New Roman"/>
          <w:sz w:val="19"/>
          <w:szCs w:val="19"/>
          <w:color w:val="auto"/>
        </w:rPr>
        <w:t>. As used herein, the following terms shall have the following meanings: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AEA</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AEA Parties</w:t>
      </w:r>
      <w:r>
        <w:rPr>
          <w:rFonts w:ascii="Times New Roman" w:cs="Times New Roman" w:eastAsia="Times New Roman" w:hAnsi="Times New Roman"/>
          <w:sz w:val="20"/>
          <w:szCs w:val="20"/>
          <w:color w:val="auto"/>
        </w:rPr>
        <w:t>” means AEA along with its Affiliates and any Person acting jointly or in concert with AEA or any of its Affiliates through a proxy or voting agreement or any agreement, commitment or understanding in writing to acquire or offer to acquire voting securities of the Company. The definition of the term “AEA Parties” shall not include any Person with a passive or noncontrolling direct or indirect interest in an AEA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has the meaning set forth in Rule 12b-2 promulgated by the Securities and Exchange Commission under the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beneficially own</w:t>
      </w:r>
      <w:r>
        <w:rPr>
          <w:rFonts w:ascii="Times New Roman" w:cs="Times New Roman" w:eastAsia="Times New Roman" w:hAnsi="Times New Roman"/>
          <w:sz w:val="20"/>
          <w:szCs w:val="20"/>
          <w:color w:val="auto"/>
        </w:rPr>
        <w:t xml:space="preserve">” has the meaning given to such term in Rule 13d-3 under the Exchange Act and a Person’s beneficial ownership of Company Securities or other voting securities of the Company shall be calculated in accordance with the provisions of such Rule;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determining beneficial ownership, no Person shall be deemed beneficially to own any security solely as a result of such Person’s execution of this Agreement; and </w:t>
      </w:r>
      <w:r>
        <w:rPr>
          <w:rFonts w:ascii="Times New Roman" w:cs="Times New Roman" w:eastAsia="Times New Roman" w:hAnsi="Times New Roman"/>
          <w:sz w:val="20"/>
          <w:szCs w:val="20"/>
          <w:u w:val="single" w:color="auto"/>
          <w:color w:val="auto"/>
        </w:rPr>
        <w:t>further provided that</w:t>
      </w:r>
      <w:r>
        <w:rPr>
          <w:rFonts w:ascii="Times New Roman" w:cs="Times New Roman" w:eastAsia="Times New Roman" w:hAnsi="Times New Roman"/>
          <w:sz w:val="20"/>
          <w:szCs w:val="20"/>
          <w:color w:val="auto"/>
        </w:rPr>
        <w:t xml:space="preserve"> a Person is deemed to be the beneficial owner of Company Securities or other voting securities of the Company if such securities is the subject of, or the reference securities for, or that underlie, any Derivative Position held directly or indirectly by such Person or any of such Person’s Affiliate. For the avoidance of doubt, the definition of the terms "beneficial owner" and "beneficially own" shall not include passive or noncontrolling ownership of securities of any entity that itself directly or indirectly beneficially owns Company Securities.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a Sunday or other day on which banks are required or authorized by Law to be closed in The City of New York.</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means the Bylaws of the Company, as in effect on the date hereof and as the same may be amended, supplemented or otherwise modified from time to time in accordance with the terms thereof, the terms of the Charter and the terms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the Class A Common Stock, the Class B Common Stock and the Series A 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A Common Stock</w:t>
      </w:r>
      <w:r>
        <w:rPr>
          <w:rFonts w:ascii="Times New Roman" w:cs="Times New Roman" w:eastAsia="Times New Roman" w:hAnsi="Times New Roman"/>
          <w:sz w:val="20"/>
          <w:szCs w:val="20"/>
          <w:color w:val="auto"/>
        </w:rPr>
        <w:t>” means the Class A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 Common Stock</w:t>
      </w:r>
      <w:r>
        <w:rPr>
          <w:rFonts w:ascii="Times New Roman" w:cs="Times New Roman" w:eastAsia="Times New Roman" w:hAnsi="Times New Roman"/>
          <w:sz w:val="20"/>
          <w:szCs w:val="20"/>
          <w:color w:val="auto"/>
        </w:rPr>
        <w:t>” means the Class B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Co-Sale Participants</w:t>
      </w:r>
      <w:r>
        <w:rPr>
          <w:rFonts w:ascii="Times New Roman" w:cs="Times New Roman" w:eastAsia="Times New Roman" w:hAnsi="Times New Roman"/>
          <w:sz w:val="20"/>
          <w:szCs w:val="20"/>
          <w:color w:val="auto"/>
        </w:rPr>
        <w:t xml:space="preserve">” means the Minority Stockholders participating in a Transfer of Company Securities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means Class A Common Stock, Class B Common Stock, Series A Preferred Stock, and the warrants exercisable for Class A Common Stock.</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u w:val="single" w:color="auto"/>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under common control with</w:t>
      </w:r>
      <w:r>
        <w:rPr>
          <w:rFonts w:ascii="Times New Roman" w:cs="Times New Roman" w:eastAsia="Times New Roman" w:hAnsi="Times New Roman"/>
          <w:sz w:val="20"/>
          <w:szCs w:val="20"/>
          <w:color w:val="auto"/>
        </w:rPr>
        <w:t>”),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Deemed Liquidation Event</w:t>
      </w:r>
      <w:r>
        <w:rPr>
          <w:rFonts w:ascii="Times New Roman" w:cs="Times New Roman" w:eastAsia="Times New Roman" w:hAnsi="Times New Roman"/>
          <w:sz w:val="20"/>
          <w:szCs w:val="20"/>
          <w:color w:val="auto"/>
        </w:rPr>
        <w:t>” shall mean (i) a merger or consolidation in which (a) the Company is a constituent party or (b) a Subsidiary is a constituent party and the Company issues shares of its capital stock pursuant to such merger or consolidation; provided, that, a Deemed Liquidation Event shall not include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Company or any Subsidiary of all or substantially all the assets of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8" w:lineRule="auto"/>
        <w:rPr>
          <w:sz w:val="20"/>
          <w:szCs w:val="20"/>
          <w:color w:val="auto"/>
        </w:rPr>
      </w:pPr>
      <w:r>
        <w:rPr>
          <w:rFonts w:ascii="Times New Roman" w:cs="Times New Roman" w:eastAsia="Times New Roman" w:hAnsi="Times New Roman"/>
          <w:sz w:val="20"/>
          <w:szCs w:val="20"/>
          <w:color w:val="auto"/>
        </w:rPr>
        <w:t>Company and its Subsidiaries taken as a whole, or (b) the sale or disposition (whether by merger, consolidation or otherwise, and whether in a single transaction or a series of related transactions) of one (1) or more Subsidiaries if substantially all of the assets of the Company and its Subsidiaries taken as a whole are held by such Subsidiary or Subsidiaries, except where such sale is to a wholly owned Subsidiary of the Company.</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Position</w:t>
      </w:r>
      <w:r>
        <w:rPr>
          <w:rFonts w:ascii="Times New Roman" w:cs="Times New Roman" w:eastAsia="Times New Roman" w:hAnsi="Times New Roman"/>
          <w:sz w:val="20"/>
          <w:szCs w:val="20"/>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conversion privilege or a settlement payment or mechanism at a price related to the value of Company Securities or a value determined in whole or in part with reference to, or derived in whole or in part from, the value of the Company Securities and that increases in value as the market price or value of the Company Securities increases or that provides an opportunity, directly or indirectly, to profit or share in any profit derived from any increase in the value of the Company Securities.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any member of the Board.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Notice Objection Period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Objection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has the meaning assigned to such term in the preamble.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means a Director that (i) is independent of each of the AEA Parties and the Company and the Person or Persons appointing such Director, as determined by reference to the list of enumerated relationships precluding independence under the listing rules of the rules of the Nasdaq Stock Market LLC and (ii) does not have any material commercial or personal relationship or ties with any of the AEA Parties, the Company or any Affiliate of the Company.</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means any laws (including common law), statutes, ordinances, codes, rules, regulations, orders (including any injunctions, judgments, doctrines, decrees, rulings, writs, assessments or arbitration awards of any government, court, arbitrator, regulatory or administrative agency, commission or authority or other governmental instrumentality, whether federal, state or local, domestic, foreign or multinational) and decrees.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of the Minority</w:t>
      </w:r>
      <w:r>
        <w:rPr>
          <w:rFonts w:ascii="Times New Roman" w:cs="Times New Roman" w:eastAsia="Times New Roman" w:hAnsi="Times New Roman"/>
          <w:sz w:val="20"/>
          <w:szCs w:val="20"/>
          <w:color w:val="auto"/>
        </w:rPr>
        <w:t>” means a majority by number of shares and by voting power of the Minority Stockholders.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Independent Director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Minority Stockholders</w:t>
      </w:r>
      <w:r>
        <w:rPr>
          <w:rFonts w:ascii="Times New Roman" w:cs="Times New Roman" w:eastAsia="Times New Roman" w:hAnsi="Times New Roman"/>
          <w:sz w:val="19"/>
          <w:szCs w:val="19"/>
          <w:color w:val="auto"/>
        </w:rPr>
        <w:t>” means the stockholders of the Company other than AEA and the other AEA Parties as of the Effective 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1" w:name="page122"/>
    <w:bookmarkEnd w:id="12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limited liability company, limited or general partnership, joint venture, association, joint-stock company, trust, unincorporated organization, government or any agency or political subdivisions thereof.</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means, with respect to a Person, the officers, directors, employees, agents, accountants, lawyers, advisors, bankers and other representatives of such Person.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Directors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Preferred Stock</w:t>
      </w:r>
      <w:r>
        <w:rPr>
          <w:rFonts w:ascii="Times New Roman" w:cs="Times New Roman" w:eastAsia="Times New Roman" w:hAnsi="Times New Roman"/>
          <w:sz w:val="20"/>
          <w:szCs w:val="20"/>
          <w:color w:val="auto"/>
        </w:rPr>
        <w:t>” means the Series A preferred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Short Form Merger</w:t>
      </w:r>
      <w:r>
        <w:rPr>
          <w:rFonts w:ascii="Times New Roman" w:cs="Times New Roman" w:eastAsia="Times New Roman" w:hAnsi="Times New Roman"/>
          <w:sz w:val="20"/>
          <w:szCs w:val="20"/>
          <w:color w:val="auto"/>
        </w:rPr>
        <w:t>” means a merger effected pursuant to Section 253 of the Delaware General Corporation Law or any similar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(i) any corporation of which a majority of the securities entitled to vote generally in the election of directors thereof, at the time as of which any determination is being made, are owned by another entity, either directly or indirectly, and (ii) any joint venture, general or limited partnership, limited liability company or other legal entity in which an entity is the record or beneficial owner, directly or indirectly, of a majority of the voting interests of any such entity or the general partner or managing member.</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earliest of (i) the consummation of a Short Form Merger, (ii) the date that the AEA Parties cease to beneficially own, directly or indirectly, at least 25% of the outstanding voting securities of the Company (such number of voting securities being calculating based on voting power), (iii) the time at which no Company Securities are owned by any Person or entity other than the AEA Parties, and (iv) if applicable, the thirty-six (36) month anniversary of the date on which the Company’s securities are delisted from trading on the Nasdaq Stock Market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if the consummation of any transaction that results in the AEA Parties being beneficial owner, directly or indirectly, of more than 40% of the outstanding voting power of the Company has not occurred by the Outside Date.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means, directly or indirectly, to sell, transfer, assign, pledge, encumber, hypothecate or similarly dispose of, either voluntarily or involuntarily, or to enter into any contract, option or other arrangement or understanding with respect to the sale, transfer, assignment, pledge, encumbrance, voting, receipt of dividends or other distributions, hypothecation or similar disposition of, any shares of Company Securities beneficially owned by a Person or any interest in any Company Securities beneficially owned by a Person, including, but not limited to, any swap or any other agreement including a transaction that transfers or separates, in whole or in part, any of the economic consequences of ownership of shares of Company Securities and/or voting thereof, whether such transaction is to be settled by delivery of Company Securities, other securities, cash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“Transfer” shall not include (i) transfers on a rolling 12-month period, in the aggregate, of a direct or indirect interest in AEA representing a less than 5% beneficial ownership interest in the Company, (ii) transfers by AEA to any of its Affiliates or Subsidiaries, (iii) transfers of direct or indirect interests in any of the AEA Parties (which shall include, for the avoidance of doubt, transfers of interests in any direct or indirect owner of an AEA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76" w:lineRule="auto"/>
        <w:rPr>
          <w:sz w:val="20"/>
          <w:szCs w:val="20"/>
          <w:color w:val="auto"/>
        </w:rPr>
      </w:pPr>
      <w:r>
        <w:rPr>
          <w:rFonts w:ascii="Times New Roman" w:cs="Times New Roman" w:eastAsia="Times New Roman" w:hAnsi="Times New Roman"/>
          <w:sz w:val="19"/>
          <w:szCs w:val="19"/>
          <w:color w:val="auto"/>
        </w:rPr>
        <w:t>Party); (iv) transfers of Capital Stock among the AEA Parties; (v) any indirect Transfer or attempted indirect Transfer of Company Securities by any of the AEA Parties; (vi) any Transfer in a public offering pursuant to an effective registration statement under the Securities Act of 1933, as amended, or pursuant to a Deemed Liquidation Event; or (vii) any direct or indirect Transfer by an AEA Party to employees or physicians of the Company. For the avoidance of doubt, “Transfer” shall not include additional issuances of equity securities by any Person.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means any Person to whom Company Securities are Transferred.</w:t>
      </w:r>
    </w:p>
    <w:p>
      <w:pPr>
        <w:spacing w:after="0" w:line="22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I.2</w:t>
      </w:r>
      <w:r>
        <w:rPr>
          <w:sz w:val="20"/>
          <w:szCs w:val="20"/>
          <w:color w:val="auto"/>
        </w:rPr>
        <w:tab/>
      </w:r>
      <w:r>
        <w:rPr>
          <w:rFonts w:ascii="Times New Roman" w:cs="Times New Roman" w:eastAsia="Times New Roman" w:hAnsi="Times New Roman"/>
          <w:sz w:val="19"/>
          <w:szCs w:val="19"/>
          <w:u w:val="single" w:color="auto"/>
          <w:color w:val="auto"/>
        </w:rPr>
        <w:t>Other Definitional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1"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Article and Section references are to this Agreement unless otherwise specified.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given to terms defined herein shall be equally applicable to both the singular and plural forms of such</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terms.</w:t>
      </w:r>
    </w:p>
    <w:p>
      <w:pPr>
        <w:spacing w:after="0" w:line="2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2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II.1</w:t>
      </w:r>
      <w:r>
        <w:rPr>
          <w:sz w:val="20"/>
          <w:szCs w:val="20"/>
          <w:color w:val="auto"/>
        </w:rPr>
        <w:tab/>
      </w:r>
      <w:r>
        <w:rPr>
          <w:rFonts w:ascii="Times New Roman" w:cs="Times New Roman" w:eastAsia="Times New Roman" w:hAnsi="Times New Roman"/>
          <w:sz w:val="19"/>
          <w:szCs w:val="19"/>
          <w:u w:val="single" w:color="auto"/>
          <w:color w:val="auto"/>
        </w:rPr>
        <w:t>Minority Independent Director Board Representation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304"/>
        <w:spacing w:after="0" w:line="283" w:lineRule="auto"/>
        <w:tabs>
          <w:tab w:leader="none" w:pos="19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AEA agrees to vote, and to ensure its controlled Affiliates will vote, all shares of Capital Stock owned by AEA or its controlled Affiliates, respectively, in whatever manner as shall be necessary to elect the following persons to the Board:</w:t>
      </w:r>
    </w:p>
    <w:p>
      <w:pPr>
        <w:spacing w:after="0" w:line="146" w:lineRule="exact"/>
        <w:rPr>
          <w:rFonts w:ascii="Times New Roman" w:cs="Times New Roman" w:eastAsia="Times New Roman" w:hAnsi="Times New Roman"/>
          <w:sz w:val="20"/>
          <w:szCs w:val="20"/>
          <w:color w:val="auto"/>
        </w:rPr>
      </w:pPr>
    </w:p>
    <w:p>
      <w:pPr>
        <w:ind w:left="660" w:firstLine="1292"/>
        <w:spacing w:after="0" w:line="283" w:lineRule="auto"/>
        <w:tabs>
          <w:tab w:leader="none" w:pos="260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one (1) Independent Director designated by mutual agreement of the other then-seated Independent Director(s) (or in the event that there are no other Independent Directors, the Board of Directors); and</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(1) Independent Director designated in the following manner (the “</w:t>
      </w:r>
      <w:r>
        <w:rPr>
          <w:rFonts w:ascii="Times New Roman" w:cs="Times New Roman" w:eastAsia="Times New Roman" w:hAnsi="Times New Roman"/>
          <w:sz w:val="20"/>
          <w:szCs w:val="20"/>
          <w:u w:val="single" w:color="auto"/>
          <w:color w:val="auto"/>
        </w:rPr>
        <w:t>Minority Independent Director</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40" w:hanging="640"/>
        <w:spacing w:after="0" w:line="253" w:lineRule="auto"/>
        <w:tabs>
          <w:tab w:leader="none" w:pos="3228"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subject to the reporting requirements of the Exchange Act at such time, promptly give notice to the Minority Stockholders by means of an announcement on Form 8-K of the proposed successor Minority Independent Director, or if the Company is not subject to the reporting requirements of the Exchange Act at such time, by means of a press release through a widely disseminated news or wire service (the “</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3240" w:hanging="640"/>
        <w:spacing w:after="0" w:line="261" w:lineRule="auto"/>
        <w:tabs>
          <w:tab w:leader="none" w:pos="3228"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the Minority may object to such proposed Minority Independent Director by providing written notice to the Company within twenty (20) Business Days (the “</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Objection Period</w:t>
      </w:r>
      <w:r>
        <w:rPr>
          <w:rFonts w:ascii="Times New Roman" w:cs="Times New Roman" w:eastAsia="Times New Roman" w:hAnsi="Times New Roman"/>
          <w:sz w:val="20"/>
          <w:szCs w:val="20"/>
          <w:color w:val="auto"/>
        </w:rPr>
        <w:t>”) after delivery or publication of the Director Notice (a “</w:t>
      </w:r>
      <w:r>
        <w:rPr>
          <w:rFonts w:ascii="Times New Roman" w:cs="Times New Roman" w:eastAsia="Times New Roman" w:hAnsi="Times New Roman"/>
          <w:sz w:val="20"/>
          <w:szCs w:val="20"/>
          <w:u w:val="single" w:color="auto"/>
          <w:color w:val="auto"/>
        </w:rPr>
        <w:t>Director Objection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3" w:name="page124"/>
    <w:bookmarkEnd w:id="123"/>
    <w:p>
      <w:pPr>
        <w:jc w:val="both"/>
        <w:ind w:left="3240" w:hanging="640"/>
        <w:spacing w:after="0" w:line="258" w:lineRule="auto"/>
        <w:tabs>
          <w:tab w:leader="none" w:pos="322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receives a Director Objection, the remaining Independent Director(s) shall, as soon as practicable thereafter (and in any case within thirty (30) Business Days), designate another proposed successor Minority Independent Director and promptly repeat the procedures set forth in this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3240" w:hanging="640"/>
        <w:spacing w:after="0" w:line="283" w:lineRule="auto"/>
        <w:tabs>
          <w:tab w:leader="none" w:pos="322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any replacement Minority Independent Director shall not be effective until the end of the Director Notice Objection Period.</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vacancy is created for any reason and at any time by, without limitation, the death, disability, retirement, resignation or removal (with or without cause) of an Independent Director, such vacancy shall be filled in the same manner set forth in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Minority Independent Director as of the Effective Date shall be William J. Valle.</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maintain a Nominating and Corporate Governance Committee (or a committee having responsibilities typically assigned to such a committee, the “</w:t>
      </w:r>
      <w:r>
        <w:rPr>
          <w:rFonts w:ascii="Times New Roman" w:cs="Times New Roman" w:eastAsia="Times New Roman" w:hAnsi="Times New Roman"/>
          <w:sz w:val="20"/>
          <w:szCs w:val="20"/>
          <w:u w:val="single" w:color="auto"/>
          <w:color w:val="auto"/>
        </w:rPr>
        <w:t>NGC</w:t>
      </w:r>
      <w:r>
        <w:rPr>
          <w:rFonts w:ascii="Times New Roman" w:cs="Times New Roman" w:eastAsia="Times New Roman" w:hAnsi="Times New Roman"/>
          <w:sz w:val="20"/>
          <w:szCs w:val="20"/>
          <w:color w:val="auto"/>
        </w:rPr>
        <w:t>”) with at least three (3) members, and both of the Independent Directors shall be entitled to serve on the NGC. The NGC shall be established and otherwise maintained by the Board, including pursuant to Section 5.1 of the Company’s bylaws. The NGC shall have duties and responsibilities customary for such a committee and subject to the Company’s organizational documents (including any certificates of designations) and the Delaware General Corporation Law. For the avoidance of doubt, and notwithstanding Section 5.2 of the Company’s bylaws, the full Board shall continue to have the sole authority to Sections 3.2, 3.3 and 3.4 of the Company’s bylaws, subject to compliance with Section 2.1(b) above.</w:t>
      </w:r>
    </w:p>
    <w:p>
      <w:pPr>
        <w:spacing w:after="0" w:line="179"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hereby agrees to take, at any time and from time to time, all actions necessary to effectuate the actions and procedures specified in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II.2</w:t>
      </w:r>
      <w:r>
        <w:rPr>
          <w:sz w:val="20"/>
          <w:szCs w:val="20"/>
          <w:color w:val="auto"/>
        </w:rPr>
        <w:tab/>
      </w:r>
      <w:r>
        <w:rPr>
          <w:rFonts w:ascii="Times New Roman" w:cs="Times New Roman" w:eastAsia="Times New Roman" w:hAnsi="Times New Roman"/>
          <w:sz w:val="19"/>
          <w:szCs w:val="19"/>
          <w:u w:val="single" w:color="auto"/>
          <w:color w:val="auto"/>
        </w:rPr>
        <w:t>Consent Rights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98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vote or consent of the Board or the stockholders of the Company required by Law or the Charter, and notwithstanding anything in this Agreement to the contrary, until two years from the Effective Date, the Company shall not take, and will ensure any controlled Affiliate will not take, any of the following actions, or enter into any arrangement or contract to do any of the following actions, without the consent in writing of the Minority Independent Director (or a majority of the Independent Directors then-seated or the sole remaining Independent Director, if there is no Minority Independent Director seated at the time of the proposed action(s)) (such consent being the consent of the “</w:t>
      </w:r>
      <w:r>
        <w:rPr>
          <w:rFonts w:ascii="Times New Roman" w:cs="Times New Roman" w:eastAsia="Times New Roman" w:hAnsi="Times New Roman"/>
          <w:sz w:val="20"/>
          <w:szCs w:val="20"/>
          <w:u w:val="single" w:color="auto"/>
          <w:color w:val="auto"/>
        </w:rPr>
        <w:t>Required Directors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660" w:firstLine="1292"/>
        <w:spacing w:after="0" w:line="283" w:lineRule="auto"/>
        <w:tabs>
          <w:tab w:leader="none" w:pos="260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repeal or alteration of the Charter or the Bylaws or the organizational documents of any Subsidiary of the Company, that would adversely affect the rights of the Minority Stockholders in a disproportionate manner;</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60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by the Company or any Subsidiary, on the one hand, with or involving any of the AEA Parties, on the other hand, (including, for the avoidance of doubt, any transaction or agreement requiring the payment of a management fee by the Company to any of the AEA Parties) other than (A) any co-sale transaction conducted in accordance with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 (B) any other transaction expressly permitted or expressly contemplated by this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Agreement or that certain side letter agreement dated June 7, 2023, by and between the Company and AEA, (C) standard employee benefits generally made available to all employees and standard employee offer letters and assignment agreements, and (D) standard director and officer indemnification agreements in substantially the form approved by the Board.</w:t>
      </w:r>
    </w:p>
    <w:p>
      <w:pPr>
        <w:spacing w:after="0" w:line="181" w:lineRule="exact"/>
        <w:rPr>
          <w:sz w:val="20"/>
          <w:szCs w:val="20"/>
          <w:color w:val="auto"/>
        </w:rPr>
      </w:pPr>
    </w:p>
    <w:p>
      <w:pPr>
        <w:jc w:val="both"/>
        <w:ind w:firstLine="1304"/>
        <w:spacing w:after="0" w:line="253" w:lineRule="auto"/>
        <w:tabs>
          <w:tab w:leader="none" w:pos="19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vote or action by written consent of the stockholders of the Company relating to any matter requiring consent as specified in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AEA agrees to vote all shares of Capital Stock owned by AEA and to ensure its controlled Affiliates will vote all shares of Capital Stock owned by such controlled Affiliates, against (and not act by written consent to approve or to issue a revocation of any prior written consent, as applicable) such matter if it has not been consented to by the Required Directors in accordance with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TRANSFERS</w:t>
      </w:r>
    </w:p>
    <w:p>
      <w:pPr>
        <w:spacing w:after="0" w:line="23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III.1</w:t>
      </w:r>
      <w:r>
        <w:rPr>
          <w:sz w:val="20"/>
          <w:szCs w:val="20"/>
          <w:color w:val="auto"/>
        </w:rPr>
        <w:tab/>
      </w:r>
      <w:r>
        <w:rPr>
          <w:rFonts w:ascii="Times New Roman" w:cs="Times New Roman" w:eastAsia="Times New Roman" w:hAnsi="Times New Roman"/>
          <w:sz w:val="19"/>
          <w:szCs w:val="19"/>
          <w:u w:val="single" w:color="auto"/>
          <w:color w:val="auto"/>
        </w:rPr>
        <w:t>Right of Co-Sale on Transfers by AEA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1" w:lineRule="auto"/>
        <w:tabs>
          <w:tab w:leader="none" w:pos="200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proposed Transfer of Company Securities by any of the AEA Parties of more than ten percent (10%) of the Company Securities held by the AEA Parties, the Minority Stockholders shall have the right to participate in such Transfer in the manner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Prior to any such Transfer, AEA or the applicable AEA Party, as the case may be, shall deliver to the Company and the NGC prompt written notice of such proposed Transfer. Within ten (10) days of receipt of such notice, the applicable AEA Parties and the members of the NGC shall negotiate in good faith a mechanism (which may include a tender offer) to allow the Minority Stockholders the right to directly or indirectly participate in such proposed Transfer of Company Securities. For the avoidance of doubt, direct or indirect transfers of interests in any of the AEA Parties (including transfers of interests in any direct or indirect owner of an AEA Party) shall not give rise to any co-sale rights pursuant to this Section 3.1.</w:t>
      </w:r>
    </w:p>
    <w:p>
      <w:pPr>
        <w:spacing w:after="0" w:line="19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transaction contemplated by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the Co-Sale Participants will be required to make the same customary representations, covenants, indemnities and agreements as the applicable AEA Parties so long as they are made severally and not jointly and the liabilities thereunder are borne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on the consideration to be received by each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any general indemnity given by any of the AEA Parties to the purchaser in connection with such sale applicable to liabilities not specific to the AEA Parties shall be apportioned among the Co-Sale Participants according to the consideration received by each Co-Sale Participant and shall not exceed such Co-Sale Participant’s proceeds from the sale; (y) a Co-Sale Participant shall not be obligated to enter into any non-compete or other post-closing covenant that restricts its activities in any way; and (z) a Co-Sale Participant shall not be responsible for breaches of representations and warranties made by any other seller with respect to such other seller’s (A) ownership of and title to Company Securities, (B) organization, (C) authority and (D) conflicts and consents or breaches of covenants by any other securityholder of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III.2 </w:t>
      </w:r>
      <w:r>
        <w:rPr>
          <w:rFonts w:ascii="Times New Roman" w:cs="Times New Roman" w:eastAsia="Times New Roman" w:hAnsi="Times New Roman"/>
          <w:sz w:val="20"/>
          <w:szCs w:val="20"/>
          <w:u w:val="single" w:color="auto"/>
          <w:color w:val="auto"/>
        </w:rPr>
        <w:t>Void Transfers</w:t>
      </w:r>
      <w:r>
        <w:rPr>
          <w:rFonts w:ascii="Times New Roman" w:cs="Times New Roman" w:eastAsia="Times New Roman" w:hAnsi="Times New Roman"/>
          <w:sz w:val="20"/>
          <w:szCs w:val="20"/>
          <w:color w:val="auto"/>
        </w:rPr>
        <w:t xml:space="preserve">. Any Transfer or attempted Transfer of Company Securities in violation of any provision of this Agreement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shall not be recorded on the books of the Company or its transfer agent and shall not be recognized by the Company.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5" w:name="page126"/>
    <w:bookmarkEnd w:id="125"/>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STANDSTILL PROVISIONS</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IV.1 </w:t>
      </w:r>
      <w:r>
        <w:rPr>
          <w:rFonts w:ascii="Times New Roman" w:cs="Times New Roman" w:eastAsia="Times New Roman" w:hAnsi="Times New Roman"/>
          <w:sz w:val="20"/>
          <w:szCs w:val="20"/>
          <w:u w:val="single" w:color="auto"/>
          <w:color w:val="auto"/>
        </w:rPr>
        <w:t>Standstill</w:t>
      </w:r>
      <w:r>
        <w:rPr>
          <w:rFonts w:ascii="Times New Roman" w:cs="Times New Roman" w:eastAsia="Times New Roman" w:hAnsi="Times New Roman"/>
          <w:sz w:val="20"/>
          <w:szCs w:val="20"/>
          <w:color w:val="auto"/>
        </w:rPr>
        <w:t>. During the period commencing on the date of this Agreement and ending on the Termination Date, AEA shall not, and shall cause and direct all of the AEA Parties controlled by AEA not to, directly or indirectly, in any manner, take any of the following actions, unless prior approval from the Required Directors has been obtained:</w:t>
      </w:r>
    </w:p>
    <w:p>
      <w:pPr>
        <w:spacing w:after="0" w:line="181" w:lineRule="exact"/>
        <w:rPr>
          <w:sz w:val="20"/>
          <w:szCs w:val="20"/>
          <w:color w:val="auto"/>
        </w:rPr>
      </w:pPr>
    </w:p>
    <w:p>
      <w:pPr>
        <w:jc w:val="both"/>
        <w:ind w:firstLine="1304"/>
        <w:spacing w:after="0" w:line="254" w:lineRule="auto"/>
        <w:tabs>
          <w:tab w:leader="none" w:pos="193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offer to acquire, or cause to be acquired any ownership or other interest in any Company Securities, or otherwise enter into any contract, arrangement, understanding or relationship (or modify or amend any such existing contract, arrangement, understanding or relationship) with respect to any Company Securities, such that AEA would have beneficial ownership of more than 80% of the outstanding voting power of the Company; or</w:t>
      </w:r>
    </w:p>
    <w:p>
      <w:pPr>
        <w:spacing w:after="0" w:line="187"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publicly request any waiver of, the obligations set forth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provided, this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shall not be deemed to prevent AEA from defending any claim by the Company that AEA has breached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V.1</w:t>
      </w:r>
      <w:r>
        <w:rPr>
          <w:sz w:val="20"/>
          <w:szCs w:val="20"/>
          <w:color w:val="auto"/>
        </w:rPr>
        <w:tab/>
      </w: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The Company represents and warrants to AEA as of the date hereof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0" w:lineRule="exact"/>
        <w:rPr>
          <w:sz w:val="20"/>
          <w:szCs w:val="20"/>
          <w:color w:val="auto"/>
        </w:rPr>
      </w:pPr>
    </w:p>
    <w:p>
      <w:pPr>
        <w:ind w:firstLine="1304"/>
        <w:spacing w:after="0" w:line="283" w:lineRule="auto"/>
        <w:tabs>
          <w:tab w:leader="none" w:pos="193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and validly authorized by the Company and all necessary and appropriate action has been taken by the Company to execute and deliver this Agreement and to perform its obligations hereunder.</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the Company and, assuming due authorization and valid execution and delivery by AEA, is a valid and binding obligation of the Company, enforceable against the Company in accordance with its terms.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V.2</w:t>
      </w:r>
      <w:r>
        <w:rPr>
          <w:sz w:val="20"/>
          <w:szCs w:val="20"/>
          <w:color w:val="auto"/>
        </w:rPr>
        <w:tab/>
      </w:r>
      <w:r>
        <w:rPr>
          <w:rFonts w:ascii="Times New Roman" w:cs="Times New Roman" w:eastAsia="Times New Roman" w:hAnsi="Times New Roman"/>
          <w:sz w:val="19"/>
          <w:szCs w:val="19"/>
          <w:u w:val="single" w:color="auto"/>
          <w:color w:val="auto"/>
        </w:rPr>
        <w:t>Representations and Warranties of AEA</w:t>
      </w:r>
      <w:r>
        <w:rPr>
          <w:rFonts w:ascii="Times New Roman" w:cs="Times New Roman" w:eastAsia="Times New Roman" w:hAnsi="Times New Roman"/>
          <w:sz w:val="19"/>
          <w:szCs w:val="19"/>
          <w:color w:val="auto"/>
        </w:rPr>
        <w:t>. AEA represents and warrants to the Company as of the date hereof that:</w:t>
      </w:r>
    </w:p>
    <w:p>
      <w:pPr>
        <w:spacing w:after="0" w:line="229" w:lineRule="exact"/>
        <w:rPr>
          <w:sz w:val="20"/>
          <w:szCs w:val="20"/>
          <w:color w:val="auto"/>
        </w:rPr>
      </w:pPr>
    </w:p>
    <w:p>
      <w:pPr>
        <w:ind w:right="20" w:firstLine="1304"/>
        <w:spacing w:after="0" w:line="269" w:lineRule="auto"/>
        <w:tabs>
          <w:tab w:leader="none" w:pos="193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and validly authorized by AEA and all necessary and appropriate action has been taken by AEA to execute and deliver this Agreement and to perform its obligations hereunder.</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AEA and, assuming due authorization and valid execution and delivery by the Company, is a valid and binding obligation of AEA, enforceable against AEA in accordance with its terms.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26" w:name="page127"/>
    <w:bookmarkEnd w:id="126"/>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VI.1 </w:t>
      </w:r>
      <w:r>
        <w:rPr>
          <w:rFonts w:ascii="Times New Roman" w:cs="Times New Roman" w:eastAsia="Times New Roman" w:hAnsi="Times New Roman"/>
          <w:sz w:val="20"/>
          <w:szCs w:val="20"/>
          <w:u w:val="single" w:color="auto"/>
          <w:color w:val="auto"/>
        </w:rPr>
        <w:t>Additional AEA Parties.</w:t>
      </w:r>
      <w:r>
        <w:rPr>
          <w:rFonts w:ascii="Times New Roman" w:cs="Times New Roman" w:eastAsia="Times New Roman" w:hAnsi="Times New Roman"/>
          <w:sz w:val="20"/>
          <w:szCs w:val="20"/>
          <w:color w:val="auto"/>
        </w:rPr>
        <w:t xml:space="preserve"> Following the Effective Date, AEA shall use its reasonable best efforts to promptly cause each AEA Party who beneficially owns shares of Capital Stock to become a party to this Agreement by executing and delivering a counterpart signature page to this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VI.2 </w:t>
      </w:r>
      <w:r>
        <w:rPr>
          <w:rFonts w:ascii="Times New Roman" w:cs="Times New Roman" w:eastAsia="Times New Roman" w:hAnsi="Times New Roman"/>
          <w:sz w:val="20"/>
          <w:szCs w:val="20"/>
          <w:u w:val="single" w:color="auto"/>
          <w:color w:val="auto"/>
        </w:rPr>
        <w:t>Amendments and Modifications; Termination</w:t>
      </w:r>
      <w:r>
        <w:rPr>
          <w:rFonts w:ascii="Times New Roman" w:cs="Times New Roman" w:eastAsia="Times New Roman" w:hAnsi="Times New Roman"/>
          <w:sz w:val="20"/>
          <w:szCs w:val="20"/>
          <w:color w:val="auto"/>
        </w:rPr>
        <w:t>. This Agreement may not be amended, modified or supplemented in any manner, whether by course of conduct or otherwise, except by an instrument in writing specifically designated as an amendment hereto that has been approved in writing by the Minority Independent Director (or a majority of the Directors on the Board who are Independent Directors if there is no Minority Independent Director), signed on behalf of AEA and the Company. This Agreement shall terminate and be of no further force and effect upon the Termination Date. No termination of this Agreement as aforesaid shall relieve AEA of any liability it may have hereunder for a breach of this Agreement by AEA prior to such termination.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VI.3 </w:t>
      </w: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Any agreement on the part of either party to any such waiver shall be valid only if set forth in a written instrument executed and delivered by a duly authorized officer on behalf of such party.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VI.4</w:t>
            </w:r>
          </w:p>
        </w:tc>
        <w:tc>
          <w:tcPr>
            <w:tcW w:w="92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Successors, Assigns and Transferees. This Agreement shall bind and inure to the benefit of and be enforceable by the</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parties hereto and their respective successors and permitted assigns.</w:t>
            </w:r>
          </w:p>
        </w:tc>
      </w:tr>
      <w:tr>
        <w:trPr>
          <w:trHeight w:val="413"/>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VI.5</w:t>
            </w:r>
          </w:p>
        </w:tc>
        <w:tc>
          <w:tcPr>
            <w:tcW w:w="92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Third-Party Beneficiary. Subject to the immediately succeeding sentence, this Agreement is not intended to, and</w:t>
            </w:r>
          </w:p>
        </w:tc>
      </w:tr>
      <w:tr>
        <w:trPr>
          <w:trHeight w:val="20"/>
        </w:trPr>
        <w:tc>
          <w:tcPr>
            <w:tcW w:w="19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shall not, confer upon any Person other than the parties hereto any rights or remedies hereunder. Notwithstanding anything to the contrary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only, each holder of Company Securities as of the Effective Date shall be entitled to enforce this Agreement and shall be an express third-party beneficiary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enforcement for purposes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be limited to the extent of the Company Securities held by such securityholder on the date hereof.</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VI.6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required or permitted hereunder shall be in writing and shall be deemed effectively given: (a) upon personal delivery to the party to be notified; (b) when sent by email with electronic confirmation of delivery if sent during normal business hours of the recipient, or if not,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such party’s address as set forth below or at such other address as the party shall have furnished to each other party in writing in accordance with this provision:</w:t>
      </w:r>
    </w:p>
    <w:p>
      <w:pPr>
        <w:spacing w:after="0" w:line="193" w:lineRule="exact"/>
        <w:rPr>
          <w:sz w:val="20"/>
          <w:szCs w:val="20"/>
          <w:color w:val="auto"/>
        </w:rPr>
      </w:pPr>
    </w:p>
    <w:p>
      <w:pPr>
        <w:ind w:left="1940" w:hanging="636"/>
        <w:spacing w:after="0"/>
        <w:tabs>
          <w:tab w:leader="none" w:pos="19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27" w:name="page128"/>
    <w:bookmarkEnd w:id="127"/>
    <w:p>
      <w:pPr>
        <w:ind w:left="1960"/>
        <w:spacing w:after="0"/>
        <w:rPr>
          <w:sz w:val="20"/>
          <w:szCs w:val="20"/>
          <w:color w:val="auto"/>
        </w:rPr>
      </w:pPr>
      <w:r>
        <w:rPr>
          <w:rFonts w:ascii="Times New Roman" w:cs="Times New Roman" w:eastAsia="Times New Roman" w:hAnsi="Times New Roman"/>
          <w:sz w:val="20"/>
          <w:szCs w:val="20"/>
          <w:color w:val="auto"/>
        </w:rPr>
        <w:t>American Oncology Network,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14543 Global Pkwy #110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Fort Myers, FL 33913</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Todd Schonherz &amp; Erica Mallon</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Todd.Schonherz@aoncology.com &amp; Erica.Mallon@aoncology.com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Dentons US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1221 Avenue of the Americas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Brian Lee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brian.lee@dentons.com</w:t>
      </w:r>
    </w:p>
    <w:p>
      <w:pPr>
        <w:spacing w:after="0" w:line="214" w:lineRule="exact"/>
        <w:rPr>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AEA, to:</w:t>
      </w:r>
    </w:p>
    <w:p>
      <w:pPr>
        <w:spacing w:after="0" w:line="215"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AEA Growth Management LP</w:t>
      </w:r>
    </w:p>
    <w:p>
      <w:pPr>
        <w:spacing w:after="0" w:line="28" w:lineRule="exact"/>
        <w:rPr>
          <w:rFonts w:ascii="Times New Roman" w:cs="Times New Roman" w:eastAsia="Times New Roman" w:hAnsi="Times New Roman"/>
          <w:sz w:val="20"/>
          <w:szCs w:val="20"/>
          <w:color w:val="auto"/>
        </w:rPr>
      </w:pPr>
    </w:p>
    <w:p>
      <w:pPr>
        <w:ind w:left="1960" w:right="67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520 Madison Avenue 40th Floor New York, NY 10022 Attention: General Counsel</w:t>
      </w:r>
    </w:p>
    <w:p>
      <w:pPr>
        <w:spacing w:after="0" w:line="2"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compliance@aeainvestors.com</w:t>
      </w:r>
    </w:p>
    <w:p>
      <w:pPr>
        <w:spacing w:after="0" w:line="200"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Cooley LLP</w:t>
      </w:r>
    </w:p>
    <w:p>
      <w:pPr>
        <w:spacing w:after="0" w:line="21" w:lineRule="exact"/>
        <w:rPr>
          <w:rFonts w:ascii="Times New Roman" w:cs="Times New Roman" w:eastAsia="Times New Roman" w:hAnsi="Times New Roman"/>
          <w:sz w:val="20"/>
          <w:szCs w:val="20"/>
          <w:color w:val="auto"/>
        </w:rPr>
      </w:pPr>
    </w:p>
    <w:p>
      <w:pPr>
        <w:jc w:val="both"/>
        <w:ind w:left="1960" w:right="762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3175 Hanover Street Palo Alto, CA 94304</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Sepideh Mousakhani and Milson Yu</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smousakhani@cooley.com and myu@cooley.com</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supersedes all prior written agreements, arrangements, communications and understandings and all prior and contemporaneous oral agreements, arrangements, communications and understandings between the parties with respect to the subject matter 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VI.8 </w:t>
      </w:r>
      <w:r>
        <w:rPr>
          <w:rFonts w:ascii="Times New Roman" w:cs="Times New Roman" w:eastAsia="Times New Roman" w:hAnsi="Times New Roman"/>
          <w:sz w:val="20"/>
          <w:szCs w:val="20"/>
          <w:u w:val="single" w:color="auto"/>
          <w:color w:val="auto"/>
        </w:rPr>
        <w:t>Delays or Omissions</w:t>
      </w:r>
      <w:r>
        <w:rPr>
          <w:rFonts w:ascii="Times New Roman" w:cs="Times New Roman" w:eastAsia="Times New Roman" w:hAnsi="Times New Roman"/>
          <w:sz w:val="20"/>
          <w:szCs w:val="20"/>
          <w:color w:val="auto"/>
        </w:rPr>
        <w:t>. It is agreed that no delay or omission to exercise any right, power or remedy accruing to any party, upon any breach, default or noncompliance by the 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VI.9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VI.10 </w:t>
      </w: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of the parties irrevocably agrees that any legal action or proceeding arising out of or relating to this Agreement brought by a party hereto or its successors or assigns shall be brought and determined in the Court of Chancery of the State of Delaware or the United States District Court for the District of Delaware,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VI.11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VI.12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hereof shall be held invalid or unenforceable by any court of competent jurisdiction or as a result of future legislative action, so long as the economic and legal substance of the transactions contemplated hereby are not affected in any manner materially adverse to any party, such holding or action shall be strictly construed and shall not affect the validity or effect of any other provision hereof, as long as the remaining provisions, taken together, are sufficient to carry out the overall intentions of the parties as evidenced hereby.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VI.13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Nothing contained herein shall cause any Person to take any action that would be unlawful for such Person to take;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Person discovers that performance of the obligations of this Agreement would result in an unlawful action, the Company and AEA agree to promptly negotiate in good faith to modify this Agreement so as to effect the original intent of the parties as closely as possible to the fullest extent permitted by applicable Law so that the transactions and rights contemplated hereby are fulfilled and preserved to the extent possible.</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VI.14 </w:t>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The parties agree that irreparable damage would occur in the event that any of the provisions of this Agreement were not performed in accordance with their specific terms or were otherwise breached. Accordingly, each of the parties shall be entitled to seek specific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0"/>
          <w:szCs w:val="20"/>
          <w:color w:val="auto"/>
        </w:rPr>
        <w:t>performance of the terms hereof, including an injunction or injunctions to prevent breaches of this Agreement and to enforce specifically the terms and provisions of this Agreement in the Court of Chancery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VI.15 </w:t>
      </w:r>
      <w:r>
        <w:rPr>
          <w:rFonts w:ascii="Times New Roman" w:cs="Times New Roman" w:eastAsia="Times New Roman" w:hAnsi="Times New Roman"/>
          <w:sz w:val="20"/>
          <w:szCs w:val="20"/>
          <w:u w:val="single" w:color="auto"/>
          <w:color w:val="auto"/>
        </w:rPr>
        <w:t>Titles and Subtitles</w:t>
      </w:r>
      <w:r>
        <w:rPr>
          <w:rFonts w:ascii="Times New Roman" w:cs="Times New Roman" w:eastAsia="Times New Roman" w:hAnsi="Times New Roman"/>
          <w:sz w:val="20"/>
          <w:szCs w:val="20"/>
          <w:color w:val="auto"/>
        </w:rPr>
        <w:t>. The titles of the sections and subsections of this Agreement are for convenience of reference only and are not to be considered in construing this Agreement.</w:t>
      </w:r>
    </w:p>
    <w:p>
      <w:pPr>
        <w:spacing w:after="0" w:line="14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Section VI.16 </w:t>
      </w:r>
      <w:r>
        <w:rPr>
          <w:rFonts w:ascii="Times New Roman" w:cs="Times New Roman" w:eastAsia="Times New Roman" w:hAnsi="Times New Roman"/>
          <w:sz w:val="19"/>
          <w:szCs w:val="19"/>
          <w:u w:val="single" w:color="auto"/>
          <w:color w:val="auto"/>
        </w:rPr>
        <w:t>Counterparts; Facsimile Signatures</w:t>
      </w:r>
      <w:r>
        <w:rPr>
          <w:rFonts w:ascii="Times New Roman" w:cs="Times New Roman" w:eastAsia="Times New Roman" w:hAnsi="Times New Roman"/>
          <w:sz w:val="19"/>
          <w:szCs w:val="19"/>
          <w:color w:val="auto"/>
        </w:rPr>
        <w:t>. This Agreement may be executed in any number of counterparts, each of which shall be an original, but all of which together shall constitute one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executed this Stockholders Agreement as of the date set forth in the first paragraph hereof.</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436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Barabara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604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Barbara Burns</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(PARALLEL)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Barabara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604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Barbara Burns</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21" w:right="339" w:bottom="1440" w:gutter="0" w:footer="0" w:header="0"/>
        </w:sectPr>
      </w:pPr>
    </w:p>
    <w:bookmarkStart w:id="131" w:name="page132"/>
    <w:bookmarkEnd w:id="131"/>
    <w:p>
      <w:pPr>
        <w:ind w:left="71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Schonherz, certify that: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reviewed this Quarterly Report on Form 10-Q of American Oncology Network, Inc.;</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80" w:hanging="324"/>
        <w:spacing w:after="0" w:line="248" w:lineRule="auto"/>
        <w:tabs>
          <w:tab w:leader="none" w:pos="97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6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48" w:lineRule="auto"/>
        <w:tabs>
          <w:tab w:leader="none" w:pos="97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6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jc w:val="both"/>
        <w:ind w:firstLine="138"/>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jc w:val="both"/>
        <w:ind w:left="980" w:hanging="324"/>
        <w:spacing w:after="0" w:line="246" w:lineRule="auto"/>
        <w:tabs>
          <w:tab w:leader="none" w:pos="97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80" w:hanging="324"/>
        <w:spacing w:after="0" w:line="267" w:lineRule="auto"/>
        <w:tabs>
          <w:tab w:leader="none" w:pos="96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19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Todd Schonherz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Executive Officer</w:t>
      </w:r>
    </w:p>
    <w:p>
      <w:pPr>
        <w:sectPr>
          <w:pgSz w:w="11900" w:h="16838" w:orient="portrait"/>
          <w:cols w:equalWidth="0" w:num="1">
            <w:col w:w="10139"/>
          </w:cols>
          <w:pgMar w:left="320" w:top="913" w:right="1440" w:bottom="1440" w:gutter="0" w:footer="0" w:header="0"/>
        </w:sectPr>
      </w:pPr>
    </w:p>
    <w:bookmarkStart w:id="133" w:name="page134"/>
    <w:bookmarkEnd w:id="133"/>
    <w:p>
      <w:pPr>
        <w:ind w:left="71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Afshar, certify that: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reviewed this Quarterly Report on Form 10-Q of American Oncology Network, Inc.;</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80" w:hanging="324"/>
        <w:spacing w:after="0" w:line="248" w:lineRule="auto"/>
        <w:tabs>
          <w:tab w:leader="none" w:pos="9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6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48" w:lineRule="auto"/>
        <w:tabs>
          <w:tab w:leader="none" w:pos="9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6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jc w:val="both"/>
        <w:ind w:firstLine="138"/>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jc w:val="both"/>
        <w:ind w:left="980" w:hanging="324"/>
        <w:spacing w:after="0" w:line="246"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80" w:hanging="324"/>
        <w:spacing w:after="0" w:line="267" w:lineRule="auto"/>
        <w:tabs>
          <w:tab w:leader="none" w:pos="96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Afshar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20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David Afshar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ectPr>
          <w:pgSz w:w="11900" w:h="16838" w:orient="portrait"/>
          <w:cols w:equalWidth="0" w:num="1">
            <w:col w:w="10139"/>
          </w:cols>
          <w:pgMar w:left="320" w:top="913" w:right="1440" w:bottom="1440" w:gutter="0" w:footer="0" w:header="0"/>
        </w:sectPr>
      </w:pPr>
    </w:p>
    <w:bookmarkStart w:id="135" w:name="page136"/>
    <w:bookmarkEnd w:id="135"/>
    <w:p>
      <w:pPr>
        <w:spacing w:after="0" w:line="1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UNDER THE SECURITIES EXCHANGE ACT OF 1934, AS ADOPTED PURSUANT TO SECTION 906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Schonherz, certify that: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my knowledge, the Quarterly Report on Form 10-Q for the quarter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49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Schonherz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UNDER THE SECURITIES EXCHANGE ACT OF 1934, AS ADOPTED PURSUANT TO SECTION 906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Afshar, certify that: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my knowledge, the Quarterly Report on Form 10-Q for the quarter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Afshar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071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Afshar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lowerLetter"/>
    </w:lvl>
    <w:lvl w:ilvl="1">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2"/>
    </w:lvl>
  </w:abstractNum>
  <w:abstractNum w:abstractNumId="13">
    <w:nsid w:val="354FE9F9"/>
    <w:multiLevelType w:val="hybridMultilevel"/>
    <w:lvl w:ilvl="0">
      <w:lvlJc w:val="left"/>
      <w:lvlText w:val="(%1)"/>
      <w:numFmt w:val="lowerRoman"/>
      <w:start w:val="3"/>
    </w:lvl>
  </w:abstractNum>
  <w:abstractNum w:abstractNumId="14">
    <w:nsid w:val="15B5AF5C"/>
    <w:multiLevelType w:val="hybridMultilevel"/>
    <w:lvl w:ilvl="0">
      <w:lvlJc w:val="left"/>
      <w:lvlText w:val="%1."/>
      <w:numFmt w:val="decimal"/>
      <w:start w:val="3"/>
    </w:lvl>
  </w:abstractNum>
  <w:abstractNum w:abstractNumId="15">
    <w:nsid w:val="741226BB"/>
    <w:multiLevelType w:val="hybridMultilevel"/>
    <w:lvl w:ilvl="0">
      <w:lvlJc w:val="left"/>
      <w:lvlText w:val="%1."/>
      <w:numFmt w:val="decimal"/>
      <w:start w:val="4"/>
    </w:lvl>
  </w:abstractNum>
  <w:abstractNum w:abstractNumId="16">
    <w:nsid w:val="D34B6A8"/>
    <w:multiLevelType w:val="hybridMultilevel"/>
    <w:lvl w:ilvl="0">
      <w:lvlJc w:val="left"/>
      <w:lvlText w:val="%1."/>
      <w:numFmt w:val="decimal"/>
      <w:start w:val="5"/>
    </w:lvl>
  </w:abstractNum>
  <w:abstractNum w:abstractNumId="17">
    <w:nsid w:val="10233C99"/>
    <w:multiLevelType w:val="hybridMultilevel"/>
    <w:lvl w:ilvl="0">
      <w:lvlJc w:val="left"/>
      <w:lvlText w:val="%1."/>
      <w:numFmt w:val="decimal"/>
      <w:start w:val="6"/>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decimal"/>
      <w:start w:val="7"/>
    </w:lvl>
  </w:abstractNum>
  <w:abstractNum w:abstractNumId="20">
    <w:nsid w:val="7E0C57B1"/>
    <w:multiLevelType w:val="hybridMultilevel"/>
    <w:lvl w:ilvl="0">
      <w:lvlJc w:val="left"/>
      <w:lvlText w:val="(%1)"/>
      <w:numFmt w:val="lowerRoman"/>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
      <w:numFmt w:val="bullet"/>
      <w:start w:val="1"/>
    </w:lvl>
    <w:lvl w:ilvl="1">
      <w:lvlJc w:val="left"/>
      <w:lvlText w:val="%2"/>
      <w:numFmt w:val="decimal"/>
      <w:start w:val="104"/>
    </w:lvl>
  </w:abstractNum>
  <w:abstractNum w:abstractNumId="32">
    <w:nsid w:val="100F8FCA"/>
    <w:multiLevelType w:val="hybridMultilevel"/>
    <w:lvl w:ilvl="0">
      <w:lvlJc w:val="left"/>
      <w:lvlText w:val="**"/>
      <w:numFmt w:val="bullet"/>
      <w:start w:val="1"/>
    </w:lvl>
    <w:lvl w:ilvl="1">
      <w:lvlJc w:val="left"/>
      <w:lvlText w:val="%2"/>
      <w:numFmt w:val="decimal"/>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Letter"/>
      <w:start w:val="13"/>
    </w:lvl>
  </w:abstractNum>
  <w:abstractNum w:abstractNumId="35">
    <w:nsid w:val="5F5E7FD0"/>
    <w:multiLevelType w:val="hybridMultilevel"/>
    <w:lvl w:ilvl="0">
      <w:lvlJc w:val="left"/>
      <w:lvlText w:val="(%1)"/>
      <w:numFmt w:val="lowerLetter"/>
      <w:start w:val="27"/>
    </w:lvl>
  </w:abstractNum>
  <w:abstractNum w:abstractNumId="36">
    <w:nsid w:val="98A3148"/>
    <w:multiLevelType w:val="hybridMultilevel"/>
    <w:lvl w:ilvl="0">
      <w:lvlJc w:val="left"/>
      <w:lvlText w:val="(%1)"/>
      <w:numFmt w:val="lowerLetter"/>
      <w:start w:val="28"/>
    </w:lvl>
  </w:abstractNum>
  <w:abstractNum w:abstractNumId="37">
    <w:nsid w:val="799D0247"/>
    <w:multiLevelType w:val="hybridMultilevel"/>
    <w:lvl w:ilvl="0">
      <w:lvlJc w:val="left"/>
      <w:lvlText w:val="(%1)"/>
      <w:numFmt w:val="lowerLetter"/>
      <w:start w:val="29"/>
    </w:lvl>
  </w:abstractNum>
  <w:abstractNum w:abstractNumId="38">
    <w:nsid w:val="6B94764"/>
    <w:multiLevelType w:val="hybridMultilevel"/>
    <w:lvl w:ilvl="0">
      <w:lvlJc w:val="left"/>
      <w:lvlText w:val="(%1)"/>
      <w:numFmt w:val="lowerLetter"/>
      <w:start w:val="1"/>
    </w:lvl>
    <w:lvl w:ilvl="1">
      <w:lvlJc w:val="left"/>
      <w:lvlText w:val="(%2)"/>
      <w:numFmt w:val="lowerRoman"/>
      <w:start w:val="1"/>
    </w:lvl>
  </w:abstractNum>
  <w:abstractNum w:abstractNumId="39">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
    <w:nsid w:val="168E121F"/>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lowerLetter"/>
      <w:start w:val="5"/>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2"/>
    </w:lvl>
  </w:abstractNum>
  <w:abstractNum w:abstractNumId="48">
    <w:nsid w:val="BF72B14"/>
    <w:multiLevelType w:val="hybridMultilevel"/>
    <w:lvl w:ilvl="0">
      <w:lvlJc w:val="left"/>
      <w:lvlText w:val="(%1)"/>
      <w:numFmt w:val="lowerLetter"/>
      <w:start w:val="1"/>
    </w:lvl>
    <w:lvl w:ilvl="1">
      <w:lvlJc w:val="left"/>
      <w:lvlText w:val="(%2)"/>
      <w:numFmt w:val="lowerLetter"/>
      <w:start w:val="9"/>
    </w:lvl>
  </w:abstractNum>
  <w:abstractNum w:abstractNumId="49">
    <w:nsid w:val="11447B73"/>
    <w:multiLevelType w:val="hybridMultilevel"/>
    <w:lvl w:ilvl="0">
      <w:lvlJc w:val="left"/>
      <w:lvlText w:val="(%1)"/>
      <w:numFmt w:val="upperLetter"/>
      <w:start w:val="2"/>
    </w:lvl>
    <w:lvl w:ilvl="1">
      <w:lvlJc w:val="left"/>
      <w:lvlText w:val="(%2)"/>
      <w:numFmt w:val="lowerRoman"/>
      <w:start w:val="2"/>
    </w:lvl>
  </w:abstractNum>
  <w:abstractNum w:abstractNumId="50">
    <w:nsid w:val="42963E5A"/>
    <w:multiLevelType w:val="hybridMultilevel"/>
    <w:lvl w:ilvl="0">
      <w:lvlJc w:val="left"/>
      <w:lvlText w:val="(%1)"/>
      <w:numFmt w:val="lowerRoman"/>
      <w:start w:val="8"/>
    </w:lvl>
  </w:abstractNum>
  <w:abstractNum w:abstractNumId="51">
    <w:nsid w:val="A0382C5"/>
    <w:multiLevelType w:val="hybridMultilevel"/>
    <w:lvl w:ilvl="0">
      <w:lvlJc w:val="left"/>
      <w:lvlText w:val="(%1)"/>
      <w:numFmt w:val="lowerLetter"/>
      <w:start w:val="2"/>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Roman"/>
      <w:start w:val="1"/>
    </w:lvl>
    <w:lvl w:ilvl="1">
      <w:lvlJc w:val="left"/>
      <w:lvlText w:val="(%2)"/>
      <w:numFmt w:val="lowerLetter"/>
      <w:start w:val="1"/>
    </w:lvl>
  </w:abstractNum>
  <w:abstractNum w:abstractNumId="54">
    <w:nsid w:val="3B0FD379"/>
    <w:multiLevelType w:val="hybridMultilevel"/>
    <w:lvl w:ilvl="0">
      <w:lvlJc w:val="left"/>
      <w:lvlText w:val="(%1)"/>
      <w:numFmt w:val="lowerRoman"/>
      <w:start w:val="7"/>
    </w:lvl>
    <w:lvl w:ilvl="1">
      <w:lvlJc w:val="left"/>
      <w:lvlText w:val="%2"/>
      <w:numFmt w:val="lowerLetter"/>
      <w:start w:val="1"/>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lowerLetter"/>
      <w:start w:val="2"/>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3"/>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lvl w:ilvl="1">
      <w:lvlJc w:val="left"/>
      <w:lvlText w:val="(%2)"/>
      <w:numFmt w:val="lowerLetter"/>
      <w:start w:val="1"/>
    </w:lvl>
  </w:abstractNum>
  <w:abstractNum w:abstractNumId="63">
    <w:nsid w:val="100F59DC"/>
    <w:multiLevelType w:val="hybridMultilevel"/>
    <w:lvl w:ilvl="0">
      <w:lvlJc w:val="left"/>
      <w:lvlText w:val="(%1)"/>
      <w:numFmt w:val="lowerLetter"/>
      <w:start w:val="9"/>
    </w:lvl>
    <w:lvl w:ilvl="1">
      <w:lvlJc w:val="left"/>
      <w:lvlText w:val="%2"/>
      <w:numFmt w:val="lowerLetter"/>
      <w:start w:val="1"/>
    </w:lvl>
  </w:abstractNum>
  <w:abstractNum w:abstractNumId="64">
    <w:nsid w:val="7FB7E0AA"/>
    <w:multiLevelType w:val="hybridMultilevel"/>
    <w:lvl w:ilvl="0">
      <w:lvlJc w:val="left"/>
      <w:lvlText w:val="%1"/>
      <w:numFmt w:val="lowerRoman"/>
      <w:start w:val="1"/>
    </w:lvl>
    <w:lvl w:ilvl="1">
      <w:lvlJc w:val="left"/>
      <w:lvlText w:val="(%2)"/>
      <w:numFmt w:val="lowerLetter"/>
      <w:start w:val="3"/>
    </w:lvl>
  </w:abstractNum>
  <w:abstractNum w:abstractNumId="65">
    <w:nsid w:val="6EB5BD4"/>
    <w:multiLevelType w:val="hybridMultilevel"/>
    <w:lvl w:ilvl="0">
      <w:lvlJc w:val="left"/>
      <w:lvlText w:val="(%1)"/>
      <w:numFmt w:val="lowerRoman"/>
      <w:start w:val="4"/>
    </w:lvl>
    <w:lvl w:ilvl="1">
      <w:lvlJc w:val="left"/>
      <w:lvlText w:val="(%2)"/>
      <w:numFmt w:val="lowerLetter"/>
      <w:start w:val="6"/>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6"/>
    </w:lvl>
  </w:abstractNum>
  <w:abstractNum w:abstractNumId="69">
    <w:nsid w:val="76272110"/>
    <w:multiLevelType w:val="hybridMultilevel"/>
    <w:lvl w:ilvl="0">
      <w:lvlJc w:val="left"/>
      <w:lvlText w:val="(%1)"/>
      <w:numFmt w:val="lowerLetter"/>
      <w:start w:val="12"/>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2"/>
    </w:lvl>
  </w:abstractNum>
  <w:abstractNum w:abstractNumId="72">
    <w:nsid w:val="14E17E33"/>
    <w:multiLevelType w:val="hybridMultilevel"/>
    <w:lvl w:ilvl="0">
      <w:lvlJc w:val="left"/>
      <w:lvlText w:val="(%1)"/>
      <w:numFmt w:val="lowerLetter"/>
      <w:start w:val="1"/>
    </w:lvl>
    <w:lvl w:ilvl="1">
      <w:lvlJc w:val="left"/>
      <w:lvlText w:val="(%2)"/>
      <w:numFmt w:val="lowerRoman"/>
      <w:start w:val="1"/>
    </w:lvl>
  </w:abstractNum>
  <w:abstractNum w:abstractNumId="73">
    <w:nsid w:val="3222E7CD"/>
    <w:multiLevelType w:val="hybridMultilevel"/>
    <w:lvl w:ilvl="0">
      <w:lvlJc w:val="left"/>
      <w:lvlText w:val="%1"/>
      <w:numFmt w:val="upperLetter"/>
      <w:start w:val="1"/>
    </w:lvl>
    <w:lvl w:ilvl="1">
      <w:lvlJc w:val="left"/>
      <w:lvlText w:val="(%2)"/>
      <w:numFmt w:val="lowerLetter"/>
      <w:start w:val="1"/>
    </w:lvl>
  </w:abstractNum>
  <w:abstractNum w:abstractNumId="74">
    <w:nsid w:val="74DE0EE3"/>
    <w:multiLevelType w:val="hybridMultilevel"/>
    <w:lvl w:ilvl="0">
      <w:lvlJc w:val="left"/>
      <w:lvlText w:val="(%1)"/>
      <w:numFmt w:val="upperLetter"/>
      <w:start w:val="1"/>
    </w:lvl>
    <w:lvl w:ilvl="1">
      <w:lvlJc w:val="left"/>
      <w:lvlText w:val="(%2)"/>
      <w:numFmt w:val="lowerLetter"/>
      <w:start w:val="5"/>
    </w:lvl>
  </w:abstractNum>
  <w:abstractNum w:abstractNumId="75">
    <w:nsid w:val="68EBC550"/>
    <w:multiLevelType w:val="hybridMultilevel"/>
    <w:lvl w:ilvl="0">
      <w:lvlJc w:val="left"/>
      <w:lvlText w:val="(%1)"/>
      <w:numFmt w:val="lowerLetter"/>
      <w:start w:val="6"/>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4"/>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13"/>
    </w:lvl>
  </w:abstractNum>
  <w:abstractNum w:abstractNumId="84">
    <w:nsid w:val="26F324BA"/>
    <w:multiLevelType w:val="hybridMultilevel"/>
    <w:lvl w:ilvl="0">
      <w:lvlJc w:val="left"/>
      <w:lvlText w:val="%1."/>
      <w:numFmt w:val="decimal"/>
      <w:start w:val="1"/>
    </w:lvl>
    <w:lvl w:ilvl="1">
      <w:lvlJc w:val="left"/>
      <w:lvlText w:val="(%2)"/>
      <w:numFmt w:val="lowerLetter"/>
      <w:start w:val="1"/>
    </w:lvl>
  </w:abstractNum>
  <w:abstractNum w:abstractNumId="85">
    <w:nsid w:val="7F01579B"/>
    <w:multiLevelType w:val="hybridMultilevel"/>
    <w:lvl w:ilvl="0">
      <w:lvlJc w:val="left"/>
      <w:lvlText w:val="(%1)"/>
      <w:numFmt w:val="lowerLetter"/>
      <w:start w:val="2"/>
    </w:lvl>
  </w:abstractNum>
  <w:abstractNum w:abstractNumId="86">
    <w:nsid w:val="49DA307D"/>
    <w:multiLevelType w:val="hybridMultilevel"/>
    <w:lvl w:ilvl="0">
      <w:lvlJc w:val="left"/>
      <w:lvlText w:val="(%1)"/>
      <w:numFmt w:val="lowerLetter"/>
      <w:start w:val="3"/>
    </w:lvl>
  </w:abstractNum>
  <w:abstractNum w:abstractNumId="87">
    <w:nsid w:val="7055A5F5"/>
    <w:multiLevelType w:val="hybridMultilevel"/>
    <w:lvl w:ilvl="0">
      <w:lvlJc w:val="left"/>
      <w:lvlText w:val="%1."/>
      <w:numFmt w:val="decimal"/>
      <w:start w:val="2"/>
    </w:lvl>
    <w:lvl w:ilvl="1">
      <w:lvlJc w:val="left"/>
      <w:lvlText w:val="(%2)"/>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0">
    <w:nsid w:val="488AC1A"/>
    <w:multiLevelType w:val="hybridMultilevel"/>
    <w:lvl w:ilvl="0">
      <w:lvlJc w:val="left"/>
      <w:lvlText w:val="%1"/>
      <w:numFmt w:val="lowerLetter"/>
      <w:start w:val="1"/>
    </w:lvl>
    <w:lvl w:ilvl="1">
      <w:lvlJc w:val="left"/>
      <w:lvlText w:val="(%2)"/>
      <w:numFmt w:val="decimal"/>
      <w:start w:val="3"/>
    </w:lvl>
  </w:abstractNum>
  <w:abstractNum w:abstractNumId="91">
    <w:nsid w:val="5FB8011C"/>
    <w:multiLevelType w:val="hybridMultilevel"/>
    <w:lvl w:ilvl="0">
      <w:lvlJc w:val="left"/>
      <w:lvlText w:val="(%1)"/>
      <w:numFmt w:val="lowerLetter"/>
      <w:start w:val="2"/>
    </w:lvl>
    <w:lvl w:ilvl="1">
      <w:lvlJc w:val="left"/>
      <w:lvlText w:val="%2"/>
      <w:numFmt w:val="decimal"/>
      <w:start w:val="1"/>
    </w:lvl>
  </w:abstractNum>
  <w:abstractNum w:abstractNumId="92">
    <w:nsid w:val="6AA78F7F"/>
    <w:multiLevelType w:val="hybridMultilevel"/>
    <w:lvl w:ilvl="0">
      <w:lvlJc w:val="left"/>
      <w:lvlText w:val="(%1)"/>
      <w:numFmt w:val="lowerLetter"/>
      <w:start w:val="1"/>
    </w:lvl>
    <w:lvl w:ilvl="1">
      <w:lvlJc w:val="left"/>
      <w:lvlText w:val="(%2)"/>
      <w:numFmt w:val="lowerRoman"/>
      <w:start w:val="1"/>
    </w:lvl>
  </w:abstractNum>
  <w:abstractNum w:abstractNumId="93">
    <w:nsid w:val="7672BD23"/>
    <w:multiLevelType w:val="hybridMultilevel"/>
    <w:lvl w:ilvl="0">
      <w:lvlJc w:val="left"/>
      <w:lvlText w:val="(%1)"/>
      <w:numFmt w:val="lowerLetter"/>
      <w:start w:val="2"/>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lowerLetter"/>
      <w:start w:val="2"/>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2024-11-13T15:52:06Z</dcterms:created>
  <dcterms:modified xsi:type="dcterms:W3CDTF">2024-11-13T15:52:06Z</dcterms:modified>
</cp:coreProperties>
</file>