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591820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559435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182880</wp:posOffset>
            </wp:positionV>
            <wp:extent cx="7139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Pursuant to Section 13 or Section 15(d)</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7139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American Oncology Network,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167005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40" w:type="dxa"/>
            <w:vAlign w:val="bottom"/>
            <w:gridSpan w:val="3"/>
            <w:shd w:val="clear" w:color="auto" w:fill="FEFEFE"/>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4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7"/>
                <w:szCs w:val="17"/>
                <w:b w:val="1"/>
                <w:bCs w:val="1"/>
                <w:color w:val="auto"/>
              </w:rPr>
              <w:t>001-40177</w:t>
            </w:r>
          </w:p>
        </w:tc>
        <w:tc>
          <w:tcPr>
            <w:tcW w:w="480" w:type="dxa"/>
            <w:vAlign w:val="bottom"/>
            <w:shd w:val="clear" w:color="auto" w:fill="FEFEFE"/>
          </w:tcPr>
          <w:p>
            <w:pPr>
              <w:spacing w:after="0"/>
              <w:rPr>
                <w:sz w:val="21"/>
                <w:szCs w:val="21"/>
                <w:color w:val="auto"/>
              </w:rPr>
            </w:pPr>
          </w:p>
        </w:tc>
        <w:tc>
          <w:tcPr>
            <w:tcW w:w="720" w:type="dxa"/>
            <w:vAlign w:val="bottom"/>
            <w:shd w:val="clear" w:color="auto" w:fill="FEFEFE"/>
          </w:tcPr>
          <w:p>
            <w:pPr>
              <w:spacing w:after="0"/>
              <w:rPr>
                <w:sz w:val="21"/>
                <w:szCs w:val="21"/>
                <w:color w:val="auto"/>
              </w:rPr>
            </w:pPr>
          </w:p>
        </w:tc>
        <w:tc>
          <w:tcPr>
            <w:tcW w:w="2780" w:type="dxa"/>
            <w:vAlign w:val="bottom"/>
            <w:shd w:val="clear" w:color="auto" w:fill="FEFEFE"/>
          </w:tcPr>
          <w:p>
            <w:pPr>
              <w:jc w:val="center"/>
              <w:ind w:left="1155"/>
              <w:spacing w:after="0"/>
              <w:rPr>
                <w:sz w:val="20"/>
                <w:szCs w:val="20"/>
                <w:color w:val="auto"/>
              </w:rPr>
            </w:pPr>
            <w:r>
              <w:rPr>
                <w:rFonts w:ascii="Times New Roman" w:cs="Times New Roman" w:eastAsia="Times New Roman" w:hAnsi="Times New Roman"/>
                <w:sz w:val="17"/>
                <w:szCs w:val="17"/>
                <w:b w:val="1"/>
                <w:bCs w:val="1"/>
                <w:color w:val="auto"/>
                <w:w w:val="99"/>
              </w:rPr>
              <w:t>85-3984427</w:t>
            </w:r>
          </w:p>
        </w:tc>
        <w:tc>
          <w:tcPr>
            <w:tcW w:w="102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40" w:type="dxa"/>
            <w:vAlign w:val="bottom"/>
            <w:gridSpan w:val="3"/>
            <w:shd w:val="clear" w:color="auto" w:fill="FEFEFE"/>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 of</w:t>
            </w:r>
          </w:p>
        </w:tc>
        <w:tc>
          <w:tcPr>
            <w:tcW w:w="2620" w:type="dxa"/>
            <w:vAlign w:val="bottom"/>
            <w:gridSpan w:val="3"/>
            <w:shd w:val="clear" w:color="auto" w:fill="FEFEFE"/>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tc>
        <w:tc>
          <w:tcPr>
            <w:tcW w:w="3800" w:type="dxa"/>
            <w:vAlign w:val="bottom"/>
            <w:gridSpan w:val="2"/>
            <w:shd w:val="clear" w:color="auto" w:fill="FEFEFE"/>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w w:val="99"/>
              </w:rPr>
              <w:t>(I.R.S. Employer</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FEFEFE"/>
            </w:tcBorders>
            <w:gridSpan w:val="3"/>
            <w:shd w:val="clear" w:color="auto" w:fill="FEFEFE"/>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420" w:type="dxa"/>
            <w:vAlign w:val="bottom"/>
            <w:tcBorders>
              <w:bottom w:val="single" w:sz="8" w:color="FEFEFE"/>
            </w:tcBorders>
            <w:shd w:val="clear" w:color="auto" w:fill="FEFEFE"/>
          </w:tcPr>
          <w:p>
            <w:pPr>
              <w:spacing w:after="0"/>
              <w:rPr>
                <w:sz w:val="20"/>
                <w:szCs w:val="20"/>
                <w:color w:val="auto"/>
              </w:rPr>
            </w:pPr>
          </w:p>
        </w:tc>
        <w:tc>
          <w:tcPr>
            <w:tcW w:w="480" w:type="dxa"/>
            <w:vAlign w:val="bottom"/>
            <w:tcBorders>
              <w:bottom w:val="single" w:sz="8" w:color="FEFEFE"/>
            </w:tcBorders>
            <w:shd w:val="clear" w:color="auto" w:fill="FEFEFE"/>
          </w:tcPr>
          <w:p>
            <w:pPr>
              <w:spacing w:after="0"/>
              <w:rPr>
                <w:sz w:val="20"/>
                <w:szCs w:val="20"/>
                <w:color w:val="auto"/>
              </w:rPr>
            </w:pPr>
          </w:p>
        </w:tc>
        <w:tc>
          <w:tcPr>
            <w:tcW w:w="720" w:type="dxa"/>
            <w:vAlign w:val="bottom"/>
            <w:tcBorders>
              <w:bottom w:val="single" w:sz="8" w:color="FEFEFE"/>
            </w:tcBorders>
            <w:shd w:val="clear" w:color="auto" w:fill="FEFEFE"/>
          </w:tcPr>
          <w:p>
            <w:pPr>
              <w:spacing w:after="0"/>
              <w:rPr>
                <w:sz w:val="20"/>
                <w:szCs w:val="20"/>
                <w:color w:val="auto"/>
              </w:rPr>
            </w:pPr>
          </w:p>
        </w:tc>
        <w:tc>
          <w:tcPr>
            <w:tcW w:w="3800" w:type="dxa"/>
            <w:vAlign w:val="bottom"/>
            <w:tcBorders>
              <w:bottom w:val="single" w:sz="8" w:color="FEFEFE"/>
            </w:tcBorders>
            <w:gridSpan w:val="2"/>
            <w:shd w:val="clear" w:color="auto" w:fill="FEFEFE"/>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40" w:type="dxa"/>
            <w:vAlign w:val="bottom"/>
            <w:gridSpan w:val="3"/>
            <w:shd w:val="clear" w:color="auto" w:fill="FEFEFE"/>
          </w:tcPr>
          <w:p>
            <w:pPr>
              <w:jc w:val="center"/>
              <w:ind w:left="1255"/>
              <w:spacing w:after="0"/>
              <w:rPr>
                <w:sz w:val="20"/>
                <w:szCs w:val="20"/>
                <w:color w:val="auto"/>
              </w:rPr>
            </w:pPr>
            <w:r>
              <w:rPr>
                <w:rFonts w:ascii="Times New Roman" w:cs="Times New Roman" w:eastAsia="Times New Roman" w:hAnsi="Times New Roman"/>
                <w:sz w:val="17"/>
                <w:szCs w:val="17"/>
                <w:b w:val="1"/>
                <w:bCs w:val="1"/>
                <w:color w:val="auto"/>
                <w:highlight w:val="white"/>
                <w:w w:val="98"/>
              </w:rPr>
              <w:t>14543 Global Parkway, Suite 110</w:t>
            </w:r>
          </w:p>
        </w:tc>
        <w:tc>
          <w:tcPr>
            <w:tcW w:w="1420" w:type="dxa"/>
            <w:vAlign w:val="bottom"/>
            <w:shd w:val="clear" w:color="auto" w:fill="FEFEFE"/>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shd w:val="clear" w:color="auto" w:fill="FEFEFE"/>
          </w:tcPr>
          <w:p>
            <w:pPr>
              <w:spacing w:after="0"/>
              <w:rPr>
                <w:sz w:val="18"/>
                <w:szCs w:val="18"/>
                <w:color w:val="auto"/>
              </w:rPr>
            </w:pPr>
          </w:p>
        </w:tc>
        <w:tc>
          <w:tcPr>
            <w:tcW w:w="2780" w:type="dxa"/>
            <w:vAlign w:val="bottom"/>
            <w:vMerge w:val="restart"/>
            <w:shd w:val="clear" w:color="auto" w:fill="FEFEFE"/>
          </w:tcPr>
          <w:p>
            <w:pPr>
              <w:jc w:val="right"/>
              <w:ind w:right="1455"/>
              <w:spacing w:after="0"/>
              <w:rPr>
                <w:sz w:val="20"/>
                <w:szCs w:val="20"/>
                <w:color w:val="auto"/>
              </w:rPr>
            </w:pPr>
            <w:r>
              <w:rPr>
                <w:rFonts w:ascii="Times New Roman" w:cs="Times New Roman" w:eastAsia="Times New Roman" w:hAnsi="Times New Roman"/>
                <w:sz w:val="17"/>
                <w:szCs w:val="17"/>
                <w:b w:val="1"/>
                <w:bCs w:val="1"/>
                <w:color w:val="auto"/>
              </w:rPr>
              <w:t>33913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220" w:type="dxa"/>
            <w:vAlign w:val="bottom"/>
            <w:shd w:val="clear" w:color="auto" w:fill="FEFEFE"/>
          </w:tcPr>
          <w:p>
            <w:pPr>
              <w:spacing w:after="0"/>
              <w:rPr>
                <w:sz w:val="10"/>
                <w:szCs w:val="10"/>
                <w:color w:val="auto"/>
              </w:rPr>
            </w:pPr>
          </w:p>
        </w:tc>
        <w:tc>
          <w:tcPr>
            <w:tcW w:w="1120" w:type="dxa"/>
            <w:vAlign w:val="bottom"/>
            <w:vMerge w:val="restart"/>
            <w:shd w:val="clear" w:color="auto" w:fill="FEFEFE"/>
          </w:tcPr>
          <w:p>
            <w:pPr>
              <w:jc w:val="center"/>
              <w:spacing w:after="0"/>
              <w:rPr>
                <w:sz w:val="20"/>
                <w:szCs w:val="20"/>
                <w:color w:val="auto"/>
              </w:rPr>
            </w:pPr>
            <w:r>
              <w:rPr>
                <w:rFonts w:ascii="Times New Roman" w:cs="Times New Roman" w:eastAsia="Times New Roman" w:hAnsi="Times New Roman"/>
                <w:sz w:val="17"/>
                <w:szCs w:val="17"/>
                <w:b w:val="1"/>
                <w:bCs w:val="1"/>
                <w:color w:val="auto"/>
                <w:highlight w:val="white"/>
                <w:w w:val="99"/>
              </w:rPr>
              <w:t>Fort Myers, FL</w:t>
            </w:r>
          </w:p>
        </w:tc>
        <w:tc>
          <w:tcPr>
            <w:tcW w:w="900" w:type="dxa"/>
            <w:vAlign w:val="bottom"/>
            <w:shd w:val="clear" w:color="auto" w:fill="FEFEFE"/>
          </w:tcPr>
          <w:p>
            <w:pPr>
              <w:spacing w:after="0"/>
              <w:rPr>
                <w:sz w:val="10"/>
                <w:szCs w:val="10"/>
                <w:color w:val="auto"/>
              </w:rPr>
            </w:pPr>
          </w:p>
        </w:tc>
        <w:tc>
          <w:tcPr>
            <w:tcW w:w="1420" w:type="dxa"/>
            <w:vAlign w:val="bottom"/>
            <w:shd w:val="clear" w:color="auto" w:fill="FEFEF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shd w:val="clear" w:color="auto" w:fill="FEFEFE"/>
          </w:tcPr>
          <w:p>
            <w:pPr>
              <w:spacing w:after="0"/>
              <w:rPr>
                <w:sz w:val="10"/>
                <w:szCs w:val="10"/>
                <w:color w:val="auto"/>
              </w:rPr>
            </w:pPr>
          </w:p>
        </w:tc>
        <w:tc>
          <w:tcPr>
            <w:tcW w:w="2780" w:type="dxa"/>
            <w:vAlign w:val="bottom"/>
            <w:vMerge w:val="continue"/>
            <w:shd w:val="clear" w:color="auto" w:fill="FEFEF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220" w:type="dxa"/>
            <w:vAlign w:val="bottom"/>
            <w:shd w:val="clear" w:color="auto" w:fill="FEFEFE"/>
          </w:tcPr>
          <w:p>
            <w:pPr>
              <w:spacing w:after="0"/>
              <w:rPr>
                <w:sz w:val="7"/>
                <w:szCs w:val="7"/>
                <w:color w:val="auto"/>
              </w:rPr>
            </w:pPr>
          </w:p>
        </w:tc>
        <w:tc>
          <w:tcPr>
            <w:tcW w:w="1120" w:type="dxa"/>
            <w:vAlign w:val="bottom"/>
            <w:vMerge w:val="continue"/>
            <w:shd w:val="clear" w:color="auto" w:fill="FEFEFE"/>
          </w:tcPr>
          <w:p>
            <w:pPr>
              <w:spacing w:after="0"/>
              <w:rPr>
                <w:sz w:val="7"/>
                <w:szCs w:val="7"/>
                <w:color w:val="auto"/>
              </w:rPr>
            </w:pPr>
          </w:p>
        </w:tc>
        <w:tc>
          <w:tcPr>
            <w:tcW w:w="900" w:type="dxa"/>
            <w:vAlign w:val="bottom"/>
            <w:shd w:val="clear" w:color="auto" w:fill="FEFEFE"/>
          </w:tcPr>
          <w:p>
            <w:pPr>
              <w:spacing w:after="0"/>
              <w:rPr>
                <w:sz w:val="7"/>
                <w:szCs w:val="7"/>
                <w:color w:val="auto"/>
              </w:rPr>
            </w:pPr>
          </w:p>
        </w:tc>
        <w:tc>
          <w:tcPr>
            <w:tcW w:w="1420" w:type="dxa"/>
            <w:vAlign w:val="bottom"/>
            <w:shd w:val="clear" w:color="auto" w:fill="FEFEFE"/>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shd w:val="clear" w:color="auto" w:fill="FEFEFE"/>
          </w:tcPr>
          <w:p>
            <w:pPr>
              <w:spacing w:after="0"/>
              <w:rPr>
                <w:sz w:val="7"/>
                <w:szCs w:val="7"/>
                <w:color w:val="auto"/>
              </w:rPr>
            </w:pPr>
          </w:p>
        </w:tc>
        <w:tc>
          <w:tcPr>
            <w:tcW w:w="2780" w:type="dxa"/>
            <w:vAlign w:val="bottom"/>
            <w:shd w:val="clear" w:color="auto" w:fill="FEFEF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240" w:type="dxa"/>
            <w:vAlign w:val="bottom"/>
            <w:gridSpan w:val="3"/>
            <w:shd w:val="clear" w:color="auto" w:fill="FEFEFE"/>
          </w:tcPr>
          <w:p>
            <w:pPr>
              <w:jc w:val="center"/>
              <w:ind w:left="1255"/>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420" w:type="dxa"/>
            <w:vAlign w:val="bottom"/>
            <w:shd w:val="clear" w:color="auto" w:fill="FEFEFE"/>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shd w:val="clear" w:color="auto" w:fill="FEFEFE"/>
          </w:tcPr>
          <w:p>
            <w:pPr>
              <w:spacing w:after="0"/>
              <w:rPr>
                <w:sz w:val="23"/>
                <w:szCs w:val="23"/>
                <w:color w:val="auto"/>
              </w:rPr>
            </w:pPr>
          </w:p>
        </w:tc>
        <w:tc>
          <w:tcPr>
            <w:tcW w:w="2780" w:type="dxa"/>
            <w:vAlign w:val="bottom"/>
            <w:shd w:val="clear" w:color="auto" w:fill="FEFEFE"/>
          </w:tcPr>
          <w:p>
            <w:pPr>
              <w:jc w:val="center"/>
              <w:ind w:right="635"/>
              <w:spacing w:after="0"/>
              <w:rPr>
                <w:sz w:val="20"/>
                <w:szCs w:val="20"/>
                <w:color w:val="auto"/>
              </w:rPr>
            </w:pPr>
            <w:r>
              <w:rPr>
                <w:rFonts w:ascii="Times New Roman" w:cs="Times New Roman" w:eastAsia="Times New Roman" w:hAnsi="Times New Roman"/>
                <w:sz w:val="17"/>
                <w:szCs w:val="17"/>
                <w:b w:val="1"/>
                <w:bCs w:val="1"/>
                <w:color w:val="auto"/>
                <w:w w:val="98"/>
              </w:rPr>
              <w:t>(Zip Code)</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(833) 886-1725</w:t>
            </w:r>
          </w:p>
        </w:tc>
        <w:tc>
          <w:tcPr>
            <w:tcW w:w="2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167640</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160" w:firstLine="47"/>
        <w:spacing w:after="0" w:line="279"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20" w:lineRule="exact"/>
        <w:rPr>
          <w:sz w:val="24"/>
          <w:szCs w:val="24"/>
          <w:color w:val="auto"/>
        </w:rPr>
      </w:pPr>
    </w:p>
    <w:p>
      <w:pPr>
        <w:ind w:left="800" w:hanging="385"/>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318" w:lineRule="exact"/>
        <w:rPr>
          <w:rFonts w:ascii="MS PGothic" w:cs="MS PGothic" w:eastAsia="MS PGothic" w:hAnsi="MS PGothic"/>
          <w:sz w:val="19"/>
          <w:szCs w:val="19"/>
          <w:color w:val="auto"/>
        </w:rPr>
      </w:pPr>
    </w:p>
    <w:p>
      <w:pPr>
        <w:ind w:left="800" w:hanging="385"/>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305" w:lineRule="exact"/>
        <w:rPr>
          <w:rFonts w:ascii="MS PGothic" w:cs="MS PGothic" w:eastAsia="MS PGothic" w:hAnsi="MS PGothic"/>
          <w:sz w:val="19"/>
          <w:szCs w:val="19"/>
          <w:color w:val="auto"/>
        </w:rPr>
      </w:pPr>
    </w:p>
    <w:p>
      <w:pPr>
        <w:ind w:left="800" w:hanging="385"/>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88" w:lineRule="exact"/>
        <w:rPr>
          <w:rFonts w:ascii="MS PGothic" w:cs="MS PGothic" w:eastAsia="MS PGothic" w:hAnsi="MS PGothic"/>
          <w:sz w:val="19"/>
          <w:szCs w:val="19"/>
          <w:color w:val="auto"/>
        </w:rPr>
      </w:pPr>
    </w:p>
    <w:p>
      <w:pPr>
        <w:ind w:left="800" w:hanging="385"/>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44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c>
          <w:tcPr>
            <w:tcW w:w="2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1"/>
        </w:trPr>
        <w:tc>
          <w:tcPr>
            <w:tcW w:w="448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9"/>
                <w:szCs w:val="19"/>
                <w:b w:val="1"/>
                <w:bCs w:val="1"/>
                <w:color w:val="auto"/>
                <w:w w:val="97"/>
              </w:rPr>
              <w:t>Title of each class</w:t>
            </w:r>
          </w:p>
        </w:tc>
        <w:tc>
          <w:tcPr>
            <w:tcW w:w="2400" w:type="dxa"/>
            <w:vAlign w:val="bottom"/>
            <w:gridSpan w:val="2"/>
          </w:tcPr>
          <w:p>
            <w:pPr>
              <w:jc w:val="center"/>
              <w:ind w:right="1260"/>
              <w:spacing w:after="0"/>
              <w:rPr>
                <w:sz w:val="20"/>
                <w:szCs w:val="20"/>
                <w:color w:val="auto"/>
              </w:rPr>
            </w:pPr>
            <w:r>
              <w:rPr>
                <w:rFonts w:ascii="Times New Roman" w:cs="Times New Roman" w:eastAsia="Times New Roman" w:hAnsi="Times New Roman"/>
                <w:sz w:val="19"/>
                <w:szCs w:val="19"/>
                <w:b w:val="1"/>
                <w:bCs w:val="1"/>
                <w:color w:val="auto"/>
                <w:w w:val="99"/>
              </w:rPr>
              <w:t>Trading</w:t>
            </w:r>
          </w:p>
        </w:tc>
        <w:tc>
          <w:tcPr>
            <w:tcW w:w="4360" w:type="dxa"/>
            <w:vAlign w:val="bottom"/>
            <w:gridSpan w:val="2"/>
          </w:tcPr>
          <w:p>
            <w:pPr>
              <w:jc w:val="center"/>
              <w:ind w:right="1120"/>
              <w:spacing w:after="0"/>
              <w:rPr>
                <w:sz w:val="20"/>
                <w:szCs w:val="20"/>
                <w:color w:val="auto"/>
              </w:rPr>
            </w:pPr>
            <w:r>
              <w:rPr>
                <w:rFonts w:ascii="Times New Roman" w:cs="Times New Roman" w:eastAsia="Times New Roman" w:hAnsi="Times New Roman"/>
                <w:sz w:val="19"/>
                <w:szCs w:val="19"/>
                <w:b w:val="1"/>
                <w:bCs w:val="1"/>
                <w:color w:val="auto"/>
                <w:w w:val="99"/>
              </w:rPr>
              <w:t>Name of each exchange</w:t>
            </w:r>
          </w:p>
        </w:tc>
        <w:tc>
          <w:tcPr>
            <w:tcW w:w="0" w:type="dxa"/>
            <w:vAlign w:val="bottom"/>
          </w:tcPr>
          <w:p>
            <w:pPr>
              <w:spacing w:after="0"/>
              <w:rPr>
                <w:sz w:val="1"/>
                <w:szCs w:val="1"/>
                <w:color w:val="auto"/>
              </w:rPr>
            </w:pPr>
          </w:p>
        </w:tc>
      </w:tr>
      <w:tr>
        <w:trPr>
          <w:trHeight w:val="247"/>
        </w:trPr>
        <w:tc>
          <w:tcPr>
            <w:tcW w:w="4480" w:type="dxa"/>
            <w:vAlign w:val="bottom"/>
            <w:gridSpan w:val="3"/>
            <w:vMerge w:val="continue"/>
          </w:tcPr>
          <w:p>
            <w:pPr>
              <w:spacing w:after="0"/>
              <w:rPr>
                <w:sz w:val="21"/>
                <w:szCs w:val="21"/>
                <w:color w:val="auto"/>
              </w:rPr>
            </w:pPr>
          </w:p>
        </w:tc>
        <w:tc>
          <w:tcPr>
            <w:tcW w:w="2400" w:type="dxa"/>
            <w:vAlign w:val="bottom"/>
            <w:gridSpan w:val="2"/>
          </w:tcPr>
          <w:p>
            <w:pPr>
              <w:jc w:val="center"/>
              <w:ind w:right="1280"/>
              <w:spacing w:after="0"/>
              <w:rPr>
                <w:sz w:val="20"/>
                <w:szCs w:val="20"/>
                <w:color w:val="auto"/>
              </w:rPr>
            </w:pPr>
            <w:r>
              <w:rPr>
                <w:rFonts w:ascii="Times New Roman" w:cs="Times New Roman" w:eastAsia="Times New Roman" w:hAnsi="Times New Roman"/>
                <w:sz w:val="19"/>
                <w:szCs w:val="19"/>
                <w:b w:val="1"/>
                <w:bCs w:val="1"/>
                <w:color w:val="auto"/>
                <w:w w:val="98"/>
              </w:rPr>
              <w:t>Symbol(s)</w:t>
            </w:r>
          </w:p>
        </w:tc>
        <w:tc>
          <w:tcPr>
            <w:tcW w:w="4360" w:type="dxa"/>
            <w:vAlign w:val="bottom"/>
            <w:gridSpan w:val="2"/>
          </w:tcPr>
          <w:p>
            <w:pPr>
              <w:jc w:val="center"/>
              <w:ind w:right="1120"/>
              <w:spacing w:after="0"/>
              <w:rPr>
                <w:sz w:val="20"/>
                <w:szCs w:val="20"/>
                <w:color w:val="auto"/>
              </w:rPr>
            </w:pPr>
            <w:r>
              <w:rPr>
                <w:rFonts w:ascii="Times New Roman" w:cs="Times New Roman" w:eastAsia="Times New Roman" w:hAnsi="Times New Roman"/>
                <w:sz w:val="19"/>
                <w:szCs w:val="19"/>
                <w:b w:val="1"/>
                <w:bCs w:val="1"/>
                <w:color w:val="auto"/>
                <w:w w:val="97"/>
              </w:rPr>
              <w:t>on which registered</w:t>
            </w: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480" w:type="dxa"/>
            <w:vAlign w:val="bottom"/>
            <w:tcBorders>
              <w:bottom w:val="single" w:sz="8" w:color="CCEEFF"/>
            </w:tcBorders>
            <w:gridSpan w:val="3"/>
            <w:shd w:val="clear" w:color="auto" w:fill="CCEEFF"/>
          </w:tcPr>
          <w:p>
            <w:pPr>
              <w:jc w:val="center"/>
              <w:ind w:right="1280"/>
              <w:spacing w:after="0"/>
              <w:rPr>
                <w:sz w:val="20"/>
                <w:szCs w:val="20"/>
                <w:color w:val="auto"/>
              </w:rPr>
            </w:pPr>
            <w:r>
              <w:rPr>
                <w:rFonts w:ascii="Times New Roman" w:cs="Times New Roman" w:eastAsia="Times New Roman" w:hAnsi="Times New Roman"/>
                <w:sz w:val="19"/>
                <w:szCs w:val="19"/>
                <w:color w:val="auto"/>
                <w:w w:val="97"/>
              </w:rPr>
              <w:t>None</w:t>
            </w:r>
          </w:p>
        </w:tc>
        <w:tc>
          <w:tcPr>
            <w:tcW w:w="2400" w:type="dxa"/>
            <w:vAlign w:val="bottom"/>
            <w:tcBorders>
              <w:bottom w:val="single" w:sz="8" w:color="CCEEFF"/>
            </w:tcBorders>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9"/>
                <w:szCs w:val="19"/>
                <w:b w:val="1"/>
                <w:bCs w:val="1"/>
                <w:color w:val="auto"/>
              </w:rPr>
              <w:t>N/A</w:t>
            </w:r>
          </w:p>
        </w:tc>
        <w:tc>
          <w:tcPr>
            <w:tcW w:w="3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7"/>
              </w:rPr>
              <w:t>N/A</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8"/>
        </w:trPr>
        <w:tc>
          <w:tcPr>
            <w:tcW w:w="3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Emerging growth company</w:t>
      </w:r>
      <w:r>
        <w:rPr>
          <w:rFonts w:ascii="MS PGothic" w:cs="MS PGothic" w:eastAsia="MS PGothic" w:hAnsi="MS PGothic"/>
          <w:sz w:val="19"/>
          <w:szCs w:val="19"/>
          <w:color w:val="auto"/>
        </w:rPr>
        <w:t>☐</w:t>
      </w:r>
    </w:p>
    <w:p>
      <w:pPr>
        <w:spacing w:after="0" w:line="272" w:lineRule="exact"/>
        <w:rPr>
          <w:sz w:val="20"/>
          <w:szCs w:val="20"/>
          <w:color w:val="auto"/>
        </w:rPr>
      </w:pPr>
    </w:p>
    <w:p>
      <w:pPr>
        <w:spacing w:after="0" w:line="252"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1012190</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456565</wp:posOffset>
            </wp:positionV>
            <wp:extent cx="67424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2430" cy="1651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Item 2.01. Completion of Acquisition or Disposition of Assets</w:t>
      </w:r>
    </w:p>
    <w:p>
      <w:pPr>
        <w:spacing w:after="0" w:line="245" w:lineRule="exact"/>
        <w:rPr>
          <w:sz w:val="20"/>
          <w:szCs w:val="20"/>
          <w:color w:val="auto"/>
        </w:rPr>
      </w:pPr>
    </w:p>
    <w:p>
      <w:pPr>
        <w:ind w:right="40" w:firstLine="613"/>
        <w:spacing w:after="0" w:line="252" w:lineRule="auto"/>
        <w:rPr>
          <w:sz w:val="20"/>
          <w:szCs w:val="20"/>
          <w:color w:val="auto"/>
        </w:rPr>
      </w:pPr>
      <w:r>
        <w:rPr>
          <w:rFonts w:ascii="Times New Roman" w:cs="Times New Roman" w:eastAsia="Times New Roman" w:hAnsi="Times New Roman"/>
          <w:sz w:val="19"/>
          <w:szCs w:val="19"/>
          <w:color w:val="auto"/>
        </w:rPr>
        <w:t>On April 1, 2024, consolidated subsidiaries of American Oncology Network, Inc. (“AON” or the “Company”) acquired certain clinical and non-clinical assets of Central Georgia Cancer Care, P.C., (“CGCC”) from the CGCC shareholders for consideration consisting of (i) a cash payment in the amount of $4.6 million, (ii) a promissory note in the amount of $6.4 million under which the terms require principal and interest payments in monthly installments over 60 months commencing May 1, 2024, and (iii) a cash payment of approximately $2.3 million for acquired inventories, (the “CGCC Acquisition”). CGCC provides treatment to patients with cancer and blood disorders at two practice locations in Macon, Georgia and Warner Robins, Georgia.</w:t>
      </w:r>
    </w:p>
    <w:p>
      <w:pPr>
        <w:spacing w:after="0" w:line="195" w:lineRule="exact"/>
        <w:rPr>
          <w:sz w:val="20"/>
          <w:szCs w:val="20"/>
          <w:color w:val="auto"/>
        </w:rPr>
      </w:pPr>
    </w:p>
    <w:p>
      <w:pPr>
        <w:ind w:right="460" w:firstLine="613"/>
        <w:spacing w:after="0" w:line="279" w:lineRule="auto"/>
        <w:rPr>
          <w:sz w:val="20"/>
          <w:szCs w:val="20"/>
          <w:color w:val="auto"/>
        </w:rPr>
      </w:pPr>
      <w:r>
        <w:rPr>
          <w:rFonts w:ascii="Times New Roman" w:cs="Times New Roman" w:eastAsia="Times New Roman" w:hAnsi="Times New Roman"/>
          <w:sz w:val="19"/>
          <w:szCs w:val="19"/>
          <w:color w:val="auto"/>
        </w:rPr>
        <w:t>The Company is also filing herewith (i) audited financial statements of CGCC for the year ended December 31, 2023 and (ii) pro forma financial information related to the CGCC Acquisition, which are attached hereto as Exhibit 99.1 and 99.2,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12529"/>
        </w:rPr>
        <w:t>Item 2.03. Creation Of A Direct Financial Obligation Or An Obligation Under An Off-Balance Sheet Arrangement Of A Registrant.</w:t>
      </w:r>
    </w:p>
    <w:p>
      <w:pPr>
        <w:spacing w:after="0" w:line="245" w:lineRule="exact"/>
        <w:rPr>
          <w:sz w:val="20"/>
          <w:szCs w:val="20"/>
          <w:color w:val="auto"/>
        </w:rPr>
      </w:pPr>
    </w:p>
    <w:p>
      <w:pPr>
        <w:ind w:firstLine="613"/>
        <w:spacing w:after="0" w:line="252" w:lineRule="auto"/>
        <w:rPr>
          <w:sz w:val="20"/>
          <w:szCs w:val="20"/>
          <w:color w:val="auto"/>
        </w:rPr>
      </w:pPr>
      <w:r>
        <w:rPr>
          <w:rFonts w:ascii="Times New Roman" w:cs="Times New Roman" w:eastAsia="Times New Roman" w:hAnsi="Times New Roman"/>
          <w:sz w:val="19"/>
          <w:szCs w:val="19"/>
          <w:color w:val="212529"/>
        </w:rPr>
        <w:t>On April 1, 2024, in connection with the CGCC Acquisition, AON issued a promissory note in the amount of $6.4 million under which the terms require principal and interest payments in monthly installments over 60 months commencing May 1, 2024. Monthly payments are in an amount equal to (i) $106,666.67 plus (ii) the amount of interest accrued on the outstanding principal balance through the applicable payment date calculated at AON’s variable cost of borrowing for the calendar month immediately preceding such payment date.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9.01 Financial Statements and Exhibits.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20" w:type="dxa"/>
            <w:vAlign w:val="bottom"/>
          </w:tcPr>
          <w:p>
            <w:pPr>
              <w:spacing w:after="0"/>
              <w:rPr>
                <w:sz w:val="21"/>
                <w:szCs w:val="21"/>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30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No.</w:t>
            </w: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060" w:type="dxa"/>
            <w:vAlign w:val="bottom"/>
          </w:tcPr>
          <w:p>
            <w:pPr>
              <w:ind w:left="20"/>
              <w:spacing w:after="0" w:line="197" w:lineRule="exact"/>
              <w:rPr>
                <w:sz w:val="20"/>
                <w:szCs w:val="20"/>
                <w:color w:val="auto"/>
              </w:rPr>
            </w:pPr>
            <w:r>
              <w:rPr>
                <w:rFonts w:ascii="Times New Roman" w:cs="Times New Roman" w:eastAsia="Times New Roman" w:hAnsi="Times New Roman"/>
                <w:sz w:val="19"/>
                <w:szCs w:val="19"/>
                <w:color w:val="auto"/>
              </w:rPr>
              <w:t>99.1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auto"/>
            </w:tcBorders>
            <w:gridSpan w:val="2"/>
          </w:tcPr>
          <w:p>
            <w:pPr>
              <w:spacing w:after="0" w:line="197" w:lineRule="exact"/>
              <w:rPr>
                <w:sz w:val="20"/>
                <w:szCs w:val="20"/>
                <w:color w:val="auto"/>
              </w:rPr>
            </w:pPr>
            <w:r>
              <w:rPr>
                <w:rFonts w:ascii="Times New Roman" w:cs="Times New Roman" w:eastAsia="Times New Roman" w:hAnsi="Times New Roman"/>
                <w:sz w:val="19"/>
                <w:szCs w:val="19"/>
                <w:color w:val="auto"/>
                <w:w w:val="98"/>
              </w:rPr>
              <w:t>Audited financial statements of Central Georgia Cancer Care, P.C., for the year ended December 31, 2023.</w:t>
            </w:r>
          </w:p>
        </w:tc>
        <w:tc>
          <w:tcPr>
            <w:tcW w:w="2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99.2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Unaudited pro forma condensed combined financial information of the Company and Central Georgia Cancer Care, P.C., for</w:t>
            </w:r>
          </w:p>
        </w:tc>
        <w:tc>
          <w:tcPr>
            <w:tcW w:w="0" w:type="dxa"/>
            <w:vAlign w:val="bottom"/>
          </w:tcPr>
          <w:p>
            <w:pPr>
              <w:spacing w:after="0"/>
              <w:rPr>
                <w:sz w:val="1"/>
                <w:szCs w:val="1"/>
                <w:color w:val="auto"/>
              </w:rPr>
            </w:pPr>
          </w:p>
        </w:tc>
      </w:tr>
      <w:tr>
        <w:trPr>
          <w:trHeight w:val="197"/>
        </w:trPr>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auto"/>
              <w:bottom w:val="single" w:sz="8" w:color="auto"/>
            </w:tcBorders>
          </w:tcPr>
          <w:p>
            <w:pPr>
              <w:spacing w:after="0" w:line="197" w:lineRule="exact"/>
              <w:rPr>
                <w:sz w:val="20"/>
                <w:szCs w:val="20"/>
                <w:color w:val="auto"/>
              </w:rPr>
            </w:pPr>
            <w:r>
              <w:rPr>
                <w:rFonts w:ascii="Times New Roman" w:cs="Times New Roman" w:eastAsia="Times New Roman" w:hAnsi="Times New Roman"/>
                <w:sz w:val="19"/>
                <w:szCs w:val="19"/>
                <w:color w:val="auto"/>
                <w:w w:val="97"/>
              </w:rPr>
              <w:t>the year ended December 31, 2023.</w:t>
            </w:r>
          </w:p>
        </w:tc>
        <w:tc>
          <w:tcPr>
            <w:tcW w:w="6660" w:type="dxa"/>
            <w:vAlign w:val="bottom"/>
            <w:tcBorders>
              <w:top w:val="single" w:sz="8" w:color="auto"/>
            </w:tcBorders>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Cover Page Interactive Data File (formatted as inline XBRL)</w:t>
            </w:r>
          </w:p>
        </w:tc>
        <w:tc>
          <w:tcPr>
            <w:tcW w:w="0" w:type="dxa"/>
            <w:vAlign w:val="bottom"/>
          </w:tcPr>
          <w:p>
            <w:pPr>
              <w:spacing w:after="0"/>
              <w:rPr>
                <w:sz w:val="1"/>
                <w:szCs w:val="1"/>
                <w:color w:val="auto"/>
              </w:rPr>
            </w:pPr>
          </w:p>
        </w:tc>
      </w:tr>
      <w:tr>
        <w:trPr>
          <w:trHeight w:val="4588"/>
        </w:trPr>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33" w:lineRule="exact"/>
        <w:rPr>
          <w:sz w:val="20"/>
          <w:szCs w:val="20"/>
          <w:color w:val="auto"/>
        </w:rPr>
      </w:pPr>
    </w:p>
    <w:p>
      <w:pPr>
        <w:ind w:firstLine="460"/>
        <w:spacing w:after="0" w:line="27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Current Report on Form 8-K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4040" w:type="dxa"/>
            <w:vAlign w:val="bottom"/>
          </w:tcPr>
          <w:p>
            <w:pPr>
              <w:spacing w:after="0"/>
              <w:rPr>
                <w:sz w:val="21"/>
                <w:szCs w:val="21"/>
                <w:color w:val="auto"/>
              </w:rPr>
            </w:pPr>
          </w:p>
        </w:tc>
        <w:tc>
          <w:tcPr>
            <w:tcW w:w="6560" w:type="dxa"/>
            <w:vAlign w:val="bottom"/>
            <w:gridSpan w:val="2"/>
          </w:tcPr>
          <w:p>
            <w:pPr>
              <w:ind w:left="2140"/>
              <w:spacing w:after="0"/>
              <w:rPr>
                <w:sz w:val="20"/>
                <w:szCs w:val="20"/>
                <w:color w:val="auto"/>
              </w:rPr>
            </w:pPr>
            <w:r>
              <w:rPr>
                <w:rFonts w:ascii="Times New Roman" w:cs="Times New Roman" w:eastAsia="Times New Roman" w:hAnsi="Times New Roman"/>
                <w:sz w:val="19"/>
                <w:szCs w:val="19"/>
                <w:b w:val="1"/>
                <w:bCs w:val="1"/>
                <w:color w:val="auto"/>
              </w:rPr>
              <w:t>AMERICAN ONCOLOGY NETWORK, INC.</w:t>
            </w:r>
          </w:p>
        </w:tc>
        <w:tc>
          <w:tcPr>
            <w:tcW w:w="0" w:type="dxa"/>
            <w:vAlign w:val="bottom"/>
          </w:tcPr>
          <w:p>
            <w:pPr>
              <w:spacing w:after="0"/>
              <w:rPr>
                <w:sz w:val="1"/>
                <w:szCs w:val="1"/>
                <w:color w:val="auto"/>
              </w:rPr>
            </w:pPr>
          </w:p>
        </w:tc>
      </w:tr>
      <w:tr>
        <w:trPr>
          <w:trHeight w:val="575"/>
        </w:trPr>
        <w:tc>
          <w:tcPr>
            <w:tcW w:w="4040" w:type="dxa"/>
            <w:vAlign w:val="bottom"/>
          </w:tcPr>
          <w:p>
            <w:pPr>
              <w:spacing w:after="0"/>
              <w:rPr>
                <w:sz w:val="20"/>
                <w:szCs w:val="20"/>
                <w:color w:val="auto"/>
              </w:rPr>
            </w:pPr>
            <w:r>
              <w:rPr>
                <w:rFonts w:ascii="Times New Roman" w:cs="Times New Roman" w:eastAsia="Times New Roman" w:hAnsi="Times New Roman"/>
                <w:sz w:val="19"/>
                <w:szCs w:val="19"/>
                <w:color w:val="auto"/>
              </w:rPr>
              <w:t>Date: December 19, 2024</w:t>
            </w:r>
          </w:p>
        </w:tc>
        <w:tc>
          <w:tcPr>
            <w:tcW w:w="2940" w:type="dxa"/>
            <w:vAlign w:val="bottom"/>
          </w:tcPr>
          <w:p>
            <w:pPr>
              <w:ind w:left="2140"/>
              <w:spacing w:after="0"/>
              <w:rPr>
                <w:sz w:val="20"/>
                <w:szCs w:val="20"/>
                <w:color w:val="auto"/>
              </w:rPr>
            </w:pPr>
            <w:r>
              <w:rPr>
                <w:rFonts w:ascii="Times New Roman" w:cs="Times New Roman" w:eastAsia="Times New Roman" w:hAnsi="Times New Roman"/>
                <w:sz w:val="19"/>
                <w:szCs w:val="19"/>
                <w:color w:val="auto"/>
              </w:rPr>
              <w:t>By:</w:t>
            </w:r>
          </w:p>
        </w:tc>
        <w:tc>
          <w:tcPr>
            <w:tcW w:w="3620" w:type="dxa"/>
            <w:vAlign w:val="bottom"/>
          </w:tcPr>
          <w:p>
            <w:pPr>
              <w:spacing w:after="0"/>
              <w:rPr>
                <w:sz w:val="20"/>
                <w:szCs w:val="20"/>
                <w:color w:val="auto"/>
              </w:rPr>
            </w:pPr>
            <w:r>
              <w:rPr>
                <w:rFonts w:ascii="Times New Roman" w:cs="Times New Roman" w:eastAsia="Times New Roman" w:hAnsi="Times New Roman"/>
                <w:sz w:val="19"/>
                <w:szCs w:val="19"/>
                <w:color w:val="auto"/>
              </w:rPr>
              <w:t>/s/ Todd Schonherz</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2940" w:type="dxa"/>
            <w:vAlign w:val="bottom"/>
            <w:vMerge w:val="restart"/>
          </w:tcPr>
          <w:p>
            <w:pPr>
              <w:ind w:left="2140"/>
              <w:spacing w:after="0"/>
              <w:rPr>
                <w:sz w:val="20"/>
                <w:szCs w:val="20"/>
                <w:color w:val="auto"/>
              </w:rPr>
            </w:pPr>
            <w:r>
              <w:rPr>
                <w:rFonts w:ascii="Times New Roman" w:cs="Times New Roman" w:eastAsia="Times New Roman" w:hAnsi="Times New Roman"/>
                <w:sz w:val="19"/>
                <w:szCs w:val="19"/>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9"/>
                <w:szCs w:val="19"/>
                <w:color w:val="auto"/>
              </w:rPr>
              <w:t>Todd Schonherz</w:t>
            </w:r>
          </w:p>
        </w:tc>
        <w:tc>
          <w:tcPr>
            <w:tcW w:w="0" w:type="dxa"/>
            <w:vAlign w:val="bottom"/>
          </w:tcPr>
          <w:p>
            <w:pPr>
              <w:spacing w:after="0"/>
              <w:rPr>
                <w:sz w:val="1"/>
                <w:szCs w:val="1"/>
                <w:color w:val="auto"/>
              </w:rPr>
            </w:pPr>
          </w:p>
        </w:tc>
      </w:tr>
      <w:tr>
        <w:trPr>
          <w:trHeight w:val="281"/>
        </w:trPr>
        <w:tc>
          <w:tcPr>
            <w:tcW w:w="4040" w:type="dxa"/>
            <w:vAlign w:val="bottom"/>
          </w:tcPr>
          <w:p>
            <w:pPr>
              <w:spacing w:after="0"/>
              <w:rPr>
                <w:sz w:val="24"/>
                <w:szCs w:val="24"/>
                <w:color w:val="auto"/>
              </w:rPr>
            </w:pPr>
          </w:p>
        </w:tc>
        <w:tc>
          <w:tcPr>
            <w:tcW w:w="2940" w:type="dxa"/>
            <w:vAlign w:val="bottom"/>
          </w:tcPr>
          <w:p>
            <w:pPr>
              <w:ind w:left="2140"/>
              <w:spacing w:after="0"/>
              <w:rPr>
                <w:sz w:val="20"/>
                <w:szCs w:val="20"/>
                <w:color w:val="auto"/>
              </w:rPr>
            </w:pPr>
            <w:r>
              <w:rPr>
                <w:rFonts w:ascii="Times New Roman" w:cs="Times New Roman" w:eastAsia="Times New Roman" w:hAnsi="Times New Roman"/>
                <w:sz w:val="19"/>
                <w:szCs w:val="19"/>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9"/>
                <w:szCs w:val="19"/>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Central Georgia Cancer Care, P.C.</w:t>
      </w:r>
    </w:p>
    <w:p>
      <w:pPr>
        <w:jc w:val="center"/>
        <w:ind w:right="19"/>
        <w:spacing w:after="0" w:line="233" w:lineRule="auto"/>
        <w:rPr>
          <w:sz w:val="20"/>
          <w:szCs w:val="20"/>
          <w:color w:val="auto"/>
        </w:rPr>
      </w:pPr>
      <w:r>
        <w:rPr>
          <w:rFonts w:ascii="Times New Roman" w:cs="Times New Roman" w:eastAsia="Times New Roman" w:hAnsi="Times New Roman"/>
          <w:sz w:val="24"/>
          <w:szCs w:val="24"/>
          <w:b w:val="1"/>
          <w:bCs w:val="1"/>
          <w:color w:val="auto"/>
        </w:rPr>
        <w:t>Financial Statements</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As of and for the Year Ended December 31, 2023</w:t>
      </w:r>
    </w:p>
    <w:p>
      <w:pPr>
        <w:sectPr>
          <w:pgSz w:w="11900" w:h="16838" w:orient="portrait"/>
          <w:cols w:equalWidth="0" w:num="1">
            <w:col w:w="9019"/>
          </w:cols>
          <w:pgMar w:left="1440" w:top="144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Page(s)</w:t>
      </w:r>
    </w:p>
    <w:p>
      <w:pPr>
        <w:spacing w:after="0" w:line="213" w:lineRule="exact"/>
        <w:rPr>
          <w:sz w:val="20"/>
          <w:szCs w:val="20"/>
          <w:color w:val="auto"/>
        </w:rPr>
      </w:pPr>
    </w:p>
    <w:p>
      <w:pPr>
        <w:ind w:left="2120"/>
        <w:spacing w:after="0"/>
        <w:tabs>
          <w:tab w:leader="dot" w:pos="6640" w:val="left"/>
        </w:tabs>
        <w:rPr>
          <w:sz w:val="20"/>
          <w:szCs w:val="20"/>
          <w:color w:val="auto"/>
        </w:rPr>
      </w:pPr>
      <w:r>
        <w:rPr>
          <w:rFonts w:ascii="Times New Roman" w:cs="Times New Roman" w:eastAsia="Times New Roman" w:hAnsi="Times New Roman"/>
          <w:sz w:val="17"/>
          <w:szCs w:val="17"/>
          <w:b w:val="1"/>
          <w:bCs w:val="1"/>
          <w:color w:val="auto"/>
        </w:rPr>
        <w:t>Report of Independent Auditors</w:t>
      </w:r>
      <w:r>
        <w:rPr>
          <w:sz w:val="20"/>
          <w:szCs w:val="20"/>
          <w:color w:val="auto"/>
        </w:rPr>
        <w:tab/>
      </w:r>
      <w:r>
        <w:rPr>
          <w:rFonts w:ascii="Times New Roman" w:cs="Times New Roman" w:eastAsia="Times New Roman" w:hAnsi="Times New Roman"/>
          <w:sz w:val="17"/>
          <w:szCs w:val="17"/>
          <w:color w:val="auto"/>
        </w:rPr>
        <w:t>1-2</w:t>
      </w:r>
    </w:p>
    <w:p>
      <w:pPr>
        <w:spacing w:after="0" w:line="21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5" w:lineRule="exact"/>
        <w:rPr>
          <w:sz w:val="20"/>
          <w:szCs w:val="20"/>
          <w:color w:val="auto"/>
        </w:rPr>
      </w:pPr>
    </w:p>
    <w:p>
      <w:pPr>
        <w:ind w:left="2140"/>
        <w:spacing w:after="0"/>
        <w:tabs>
          <w:tab w:leader="dot" w:pos="6760" w:val="left"/>
        </w:tabs>
        <w:rPr>
          <w:sz w:val="20"/>
          <w:szCs w:val="20"/>
          <w:color w:val="auto"/>
        </w:rPr>
      </w:pPr>
      <w:r>
        <w:rPr>
          <w:rFonts w:ascii="Times New Roman" w:cs="Times New Roman" w:eastAsia="Times New Roman" w:hAnsi="Times New Roman"/>
          <w:sz w:val="17"/>
          <w:szCs w:val="17"/>
          <w:color w:val="auto"/>
        </w:rPr>
        <w:t>Balance Sheet</w:t>
      </w:r>
      <w:r>
        <w:rPr>
          <w:sz w:val="20"/>
          <w:szCs w:val="20"/>
          <w:color w:val="auto"/>
        </w:rPr>
        <w:tab/>
      </w:r>
      <w:r>
        <w:rPr>
          <w:rFonts w:ascii="Times New Roman" w:cs="Times New Roman" w:eastAsia="Times New Roman" w:hAnsi="Times New Roman"/>
          <w:sz w:val="16"/>
          <w:szCs w:val="16"/>
          <w:color w:val="auto"/>
        </w:rPr>
        <w:t>3</w:t>
      </w:r>
    </w:p>
    <w:p>
      <w:pPr>
        <w:spacing w:after="0" w:line="201" w:lineRule="exact"/>
        <w:rPr>
          <w:sz w:val="20"/>
          <w:szCs w:val="20"/>
          <w:color w:val="auto"/>
        </w:rPr>
      </w:pPr>
    </w:p>
    <w:p>
      <w:pPr>
        <w:ind w:left="2140"/>
        <w:spacing w:after="0"/>
        <w:tabs>
          <w:tab w:leader="dot" w:pos="6760" w:val="left"/>
        </w:tabs>
        <w:rPr>
          <w:sz w:val="20"/>
          <w:szCs w:val="20"/>
          <w:color w:val="auto"/>
        </w:rPr>
      </w:pPr>
      <w:r>
        <w:rPr>
          <w:rFonts w:ascii="Times New Roman" w:cs="Times New Roman" w:eastAsia="Times New Roman" w:hAnsi="Times New Roman"/>
          <w:sz w:val="17"/>
          <w:szCs w:val="17"/>
          <w:color w:val="auto"/>
        </w:rPr>
        <w:t>Statement of Operations</w:t>
      </w:r>
      <w:r>
        <w:rPr>
          <w:sz w:val="20"/>
          <w:szCs w:val="20"/>
          <w:color w:val="auto"/>
        </w:rPr>
        <w:tab/>
      </w:r>
      <w:r>
        <w:rPr>
          <w:rFonts w:ascii="Times New Roman" w:cs="Times New Roman" w:eastAsia="Times New Roman" w:hAnsi="Times New Roman"/>
          <w:sz w:val="16"/>
          <w:szCs w:val="16"/>
          <w:color w:val="auto"/>
        </w:rPr>
        <w:t>4</w:t>
      </w:r>
    </w:p>
    <w:p>
      <w:pPr>
        <w:spacing w:after="0" w:line="21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color w:val="auto"/>
        </w:rPr>
        <w:t>Statement of Shareholders’ Equity..................................................…5</w:t>
      </w:r>
    </w:p>
    <w:p>
      <w:pPr>
        <w:spacing w:after="0" w:line="213" w:lineRule="exact"/>
        <w:rPr>
          <w:sz w:val="20"/>
          <w:szCs w:val="20"/>
          <w:color w:val="auto"/>
        </w:rPr>
      </w:pPr>
    </w:p>
    <w:p>
      <w:pPr>
        <w:ind w:left="2140"/>
        <w:spacing w:after="0"/>
        <w:tabs>
          <w:tab w:leader="dot" w:pos="6760" w:val="left"/>
        </w:tabs>
        <w:rPr>
          <w:sz w:val="20"/>
          <w:szCs w:val="20"/>
          <w:color w:val="auto"/>
        </w:rPr>
      </w:pPr>
      <w:r>
        <w:rPr>
          <w:rFonts w:ascii="Times New Roman" w:cs="Times New Roman" w:eastAsia="Times New Roman" w:hAnsi="Times New Roman"/>
          <w:sz w:val="17"/>
          <w:szCs w:val="17"/>
          <w:color w:val="auto"/>
        </w:rPr>
        <w:t>Statement of Cash Flows</w:t>
      </w:r>
      <w:r>
        <w:rPr>
          <w:sz w:val="20"/>
          <w:szCs w:val="20"/>
          <w:color w:val="auto"/>
        </w:rPr>
        <w:tab/>
      </w:r>
      <w:r>
        <w:rPr>
          <w:rFonts w:ascii="Times New Roman" w:cs="Times New Roman" w:eastAsia="Times New Roman" w:hAnsi="Times New Roman"/>
          <w:sz w:val="16"/>
          <w:szCs w:val="16"/>
          <w:color w:val="auto"/>
        </w:rPr>
        <w:t>6</w:t>
      </w:r>
    </w:p>
    <w:p>
      <w:pPr>
        <w:spacing w:after="0" w:line="197" w:lineRule="exact"/>
        <w:rPr>
          <w:sz w:val="20"/>
          <w:szCs w:val="20"/>
          <w:color w:val="auto"/>
        </w:rPr>
      </w:pPr>
    </w:p>
    <w:p>
      <w:pPr>
        <w:ind w:left="2120"/>
        <w:spacing w:after="0"/>
        <w:tabs>
          <w:tab w:leader="dot" w:pos="6780" w:val="left"/>
        </w:tabs>
        <w:rPr>
          <w:sz w:val="20"/>
          <w:szCs w:val="20"/>
          <w:color w:val="auto"/>
        </w:rPr>
      </w:pPr>
      <w:r>
        <w:rPr>
          <w:rFonts w:ascii="Times New Roman" w:cs="Times New Roman" w:eastAsia="Times New Roman" w:hAnsi="Times New Roman"/>
          <w:sz w:val="17"/>
          <w:szCs w:val="17"/>
          <w:b w:val="1"/>
          <w:bCs w:val="1"/>
          <w:color w:val="auto"/>
        </w:rPr>
        <w:t>Notes to Financial Statements</w:t>
      </w:r>
      <w:r>
        <w:rPr>
          <w:sz w:val="20"/>
          <w:szCs w:val="20"/>
          <w:color w:val="auto"/>
        </w:rPr>
        <w:tab/>
      </w:r>
      <w:r>
        <w:rPr>
          <w:rFonts w:ascii="Times New Roman" w:cs="Times New Roman" w:eastAsia="Times New Roman" w:hAnsi="Times New Roman"/>
          <w:sz w:val="16"/>
          <w:szCs w:val="16"/>
          <w:b w:val="1"/>
          <w:bCs w:val="1"/>
          <w:color w:val="auto"/>
        </w:rPr>
        <w:t>7</w:t>
      </w:r>
    </w:p>
    <w:p>
      <w:pPr>
        <w:sectPr>
          <w:pgSz w:w="11900" w:h="16838" w:orient="portrait"/>
          <w:cols w:equalWidth="0" w:num="1">
            <w:col w:w="10120"/>
          </w:cols>
          <w:pgMar w:left="1440" w:top="97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INDEPENDENT AUDITOR’S REPORT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Central Georgia Cancer Care, P.C.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Macon, Georgia</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w:t>
      </w:r>
    </w:p>
    <w:p>
      <w:pPr>
        <w:spacing w:after="0" w:line="2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We have audited the financial statements of </w:t>
      </w:r>
      <w:r>
        <w:rPr>
          <w:rFonts w:ascii="Times New Roman" w:cs="Times New Roman" w:eastAsia="Times New Roman" w:hAnsi="Times New Roman"/>
          <w:sz w:val="20"/>
          <w:szCs w:val="20"/>
          <w:b w:val="1"/>
          <w:bCs w:val="1"/>
          <w:color w:val="auto"/>
        </w:rPr>
        <w:t>Central Georgia Cancer Care, P.C.</w:t>
      </w:r>
      <w:r>
        <w:rPr>
          <w:rFonts w:ascii="Times New Roman" w:cs="Times New Roman" w:eastAsia="Times New Roman" w:hAnsi="Times New Roman"/>
          <w:sz w:val="20"/>
          <w:szCs w:val="20"/>
          <w:color w:val="auto"/>
        </w:rPr>
        <w:t xml:space="preserve"> (the Company), which comprise the balance sheet as of December 31, 2023, and the related statements of operations, stockholders’ equity and cash flows for the year then ended, and the related notes to the financial statements.</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In our opinion, the accompanying financial statements present fairly, in all material respects, the financial position of Central Georgia Cancer Care, P.C. as of December 31, 2023, and the results of its operations, changes in stockholders’ equity, and cash flows for the year then ended in accordance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Responsibilities of Management for the Financial Statements</w:t>
      </w:r>
    </w:p>
    <w:p>
      <w:pPr>
        <w:spacing w:after="0" w:line="2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97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Auditor’s Responsibilities for the Audit of the Financial Statements</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performing an audit in accordance with GAAS, we:</w:t>
      </w:r>
    </w:p>
    <w:p>
      <w:pPr>
        <w:spacing w:after="0" w:line="243" w:lineRule="exact"/>
        <w:rPr>
          <w:sz w:val="20"/>
          <w:szCs w:val="20"/>
          <w:color w:val="auto"/>
        </w:rPr>
      </w:pPr>
    </w:p>
    <w:p>
      <w:pPr>
        <w:ind w:left="620" w:hanging="311"/>
        <w:spacing w:after="0"/>
        <w:tabs>
          <w:tab w:leader="none" w:pos="6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professional judgment and maintain professional skepticism throughout the audit.</w:t>
      </w:r>
    </w:p>
    <w:p>
      <w:pPr>
        <w:spacing w:after="0" w:line="34" w:lineRule="exact"/>
        <w:rPr>
          <w:rFonts w:ascii="Times New Roman" w:cs="Times New Roman" w:eastAsia="Times New Roman" w:hAnsi="Times New Roman"/>
          <w:sz w:val="20"/>
          <w:szCs w:val="20"/>
          <w:color w:val="auto"/>
        </w:rPr>
      </w:pPr>
    </w:p>
    <w:p>
      <w:pPr>
        <w:jc w:val="both"/>
        <w:ind w:left="620" w:hanging="311"/>
        <w:spacing w:after="0" w:line="253" w:lineRule="auto"/>
        <w:tabs>
          <w:tab w:leader="none" w:pos="61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jc w:val="both"/>
        <w:ind w:left="620" w:hanging="311"/>
        <w:spacing w:after="0" w:line="257" w:lineRule="auto"/>
        <w:tabs>
          <w:tab w:leader="none" w:pos="61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 w:lineRule="exact"/>
        <w:rPr>
          <w:rFonts w:ascii="Times New Roman" w:cs="Times New Roman" w:eastAsia="Times New Roman" w:hAnsi="Times New Roman"/>
          <w:sz w:val="20"/>
          <w:szCs w:val="20"/>
          <w:color w:val="auto"/>
        </w:rPr>
      </w:pPr>
    </w:p>
    <w:p>
      <w:pPr>
        <w:ind w:left="620" w:hanging="311"/>
        <w:spacing w:after="0" w:line="253" w:lineRule="auto"/>
        <w:tabs>
          <w:tab w:leader="none" w:pos="61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appropriateness of accounting policies used and the reasonableness of significant accounting estimates made by management, as well as evaluate the overall presentation of the financial statements.</w:t>
      </w:r>
    </w:p>
    <w:p>
      <w:pPr>
        <w:ind w:left="620" w:hanging="311"/>
        <w:spacing w:after="0" w:line="281" w:lineRule="auto"/>
        <w:tabs>
          <w:tab w:leader="none" w:pos="61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Conclude whether, in our judgment, there are conditions or events, considered in the aggregate, that raise substantial doubt about the Company’s ability to continue as a going concern for a reasonable period of time.</w:t>
      </w:r>
    </w:p>
    <w:p>
      <w:pPr>
        <w:spacing w:after="0" w:line="16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107950</wp:posOffset>
            </wp:positionV>
            <wp:extent cx="3050540" cy="243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50540"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McNAIR, McLEMORE, MIDDLEBROOKS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4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5062855" cy="4835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2855" cy="483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39"/>
          </w:cols>
          <w:pgMar w:left="320" w:top="134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5062855" cy="2766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2855" cy="276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39"/>
          </w:cols>
          <w:pgMar w:left="320" w:top="134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Statement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199630" cy="1557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155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39"/>
          </w:cols>
          <w:pgMar w:left="320" w:top="135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164465</wp:posOffset>
            </wp:positionV>
            <wp:extent cx="5062855" cy="4859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2855" cy="4859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39"/>
          </w:cols>
          <w:pgMar w:left="320" w:top="1358" w:right="1440" w:bottom="1440" w:gutter="0" w:footer="0" w:header="0"/>
        </w:sectPr>
      </w:pPr>
    </w:p>
    <w:bookmarkStart w:id="12" w:name="page13"/>
    <w:bookmarkEnd w:id="1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52" w:lineRule="exact"/>
        <w:rPr>
          <w:sz w:val="20"/>
          <w:szCs w:val="20"/>
          <w:color w:val="auto"/>
        </w:rPr>
      </w:pPr>
    </w:p>
    <w:p>
      <w:pPr>
        <w:ind w:left="500" w:right="7240" w:hanging="498"/>
        <w:spacing w:after="0" w:line="520" w:lineRule="auto"/>
        <w:tabs>
          <w:tab w:leader="none" w:pos="495"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Organization and Basis of Presentation Business</w:t>
      </w: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Central Georgia Cancer Care, P.C. (“CGCC”, or the “Company”) was originally incorporated under the Georgia Business Corporation Code on April 17,</w:t>
      </w:r>
    </w:p>
    <w:p>
      <w:pPr>
        <w:spacing w:after="0" w:line="47" w:lineRule="exact"/>
        <w:rPr>
          <w:rFonts w:ascii="Times New Roman" w:cs="Times New Roman" w:eastAsia="Times New Roman" w:hAnsi="Times New Roman"/>
          <w:sz w:val="17"/>
          <w:szCs w:val="17"/>
          <w:b w:val="1"/>
          <w:bCs w:val="1"/>
          <w:color w:val="auto"/>
        </w:rPr>
      </w:pPr>
    </w:p>
    <w:p>
      <w:pPr>
        <w:jc w:val="both"/>
        <w:ind w:left="50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2000 as a professional corporation as Macon Hematology &amp; Oncology Associates, P.C. The Company changed its name to Central Georgia Hematology &amp; Oncology Associates, P.C., effective May 11, 2000 and changed to its current name effective October 6, 2005. The Company provides treatment options to patients for cancer and blood disorders from its two practice locations in Macon, Georgia and Warner Robins, Georgia.</w:t>
      </w:r>
    </w:p>
    <w:p>
      <w:pPr>
        <w:spacing w:after="0" w:line="129"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217" w:lineRule="exact"/>
        <w:rPr>
          <w:rFonts w:ascii="Times New Roman" w:cs="Times New Roman" w:eastAsia="Times New Roman" w:hAnsi="Times New Roman"/>
          <w:sz w:val="17"/>
          <w:szCs w:val="17"/>
          <w:b w:val="1"/>
          <w:bCs w:val="1"/>
          <w:color w:val="auto"/>
        </w:rPr>
      </w:pPr>
    </w:p>
    <w:p>
      <w:pPr>
        <w:ind w:left="500"/>
        <w:spacing w:after="0" w:line="31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accompanying financial statements have been prepared in accordance with accounting principles generally accepted in the United States of America (“GAAP”).</w:t>
      </w:r>
    </w:p>
    <w:p>
      <w:pPr>
        <w:spacing w:after="0" w:line="123" w:lineRule="exact"/>
        <w:rPr>
          <w:rFonts w:ascii="Times New Roman" w:cs="Times New Roman" w:eastAsia="Times New Roman" w:hAnsi="Times New Roman"/>
          <w:sz w:val="17"/>
          <w:szCs w:val="17"/>
          <w:b w:val="1"/>
          <w:bCs w:val="1"/>
          <w:color w:val="auto"/>
        </w:rPr>
      </w:pPr>
    </w:p>
    <w:p>
      <w:pPr>
        <w:ind w:left="460" w:hanging="458"/>
        <w:spacing w:after="0"/>
        <w:tabs>
          <w:tab w:leader="none" w:pos="46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Accounting Estimates and Assumptions</w:t>
      </w:r>
    </w:p>
    <w:p>
      <w:pPr>
        <w:spacing w:after="0" w:line="217" w:lineRule="exact"/>
        <w:rPr>
          <w:sz w:val="20"/>
          <w:szCs w:val="20"/>
          <w:color w:val="auto"/>
        </w:rPr>
      </w:pPr>
    </w:p>
    <w:p>
      <w:pPr>
        <w:jc w:val="both"/>
        <w:ind w:left="500"/>
        <w:spacing w:after="0" w:line="30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Comprehensive Income</w:t>
      </w:r>
    </w:p>
    <w:p>
      <w:pPr>
        <w:spacing w:after="0" w:line="205" w:lineRule="exact"/>
        <w:rPr>
          <w:sz w:val="20"/>
          <w:szCs w:val="20"/>
          <w:color w:val="auto"/>
        </w:rPr>
      </w:pPr>
    </w:p>
    <w:p>
      <w:pPr>
        <w:jc w:val="both"/>
        <w:ind w:left="500"/>
        <w:spacing w:after="0" w:line="330" w:lineRule="auto"/>
        <w:rPr>
          <w:sz w:val="20"/>
          <w:szCs w:val="20"/>
          <w:color w:val="auto"/>
        </w:rPr>
      </w:pPr>
      <w:r>
        <w:rPr>
          <w:rFonts w:ascii="Times New Roman" w:cs="Times New Roman" w:eastAsia="Times New Roman" w:hAnsi="Times New Roman"/>
          <w:sz w:val="17"/>
          <w:szCs w:val="17"/>
          <w:color w:val="auto"/>
        </w:rPr>
        <w:t>A separate statement of comprehensive income is required, however, as net income is the only component of comprehensive income, the Company elected not to include a separate statement of comprehensive income because it would not be meaningful to the users of the financial statements.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3" w:lineRule="exact"/>
        <w:rPr>
          <w:sz w:val="20"/>
          <w:szCs w:val="20"/>
          <w:color w:val="auto"/>
        </w:rPr>
      </w:pPr>
    </w:p>
    <w:p>
      <w:pPr>
        <w:jc w:val="both"/>
        <w:ind w:left="500"/>
        <w:spacing w:after="0" w:line="293" w:lineRule="auto"/>
        <w:rPr>
          <w:sz w:val="20"/>
          <w:szCs w:val="20"/>
          <w:color w:val="auto"/>
        </w:rPr>
      </w:pPr>
      <w:r>
        <w:rPr>
          <w:rFonts w:ascii="Times New Roman" w:cs="Times New Roman" w:eastAsia="Times New Roman" w:hAnsi="Times New Roman"/>
          <w:sz w:val="17"/>
          <w:szCs w:val="17"/>
          <w:color w:val="auto"/>
        </w:rPr>
        <w:t xml:space="preserve">Revenue is recognized under Accounting Standards Update (“ASU”) 2014-09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and infused drugs provided during patient visits and the dispensing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taking possession of the prescription. Accordingly, the Company does not anticipate a significant amount of revenue from performance obligations satisfied (or partially satisfied) in previous periods, and any such revenue recognized during the year ended December 31, 2023 was immaterial. Additionally, the Company does not anticipate a significant amount of revenue from performance obligations satisfied (or partially satisfied) as of December 31, 2023. Approximately $71,900,000 of the Company’s patient service revenues are generated from services performed during patient visits with the remainder primarily generated from the dispensing of pharmacy prescriptions for the year ended December 31,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As patient services are performed and prescriptions are dispensed, timely billing occurs for services rendered and prescriptions dispensed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4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year ended December 31, 2023, such resulting historic adjustments have been immaterial to the financial statements.</w:t>
      </w:r>
    </w:p>
    <w:p>
      <w:pPr>
        <w:spacing w:after="0" w:line="13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In assessing who is the principal in providing patient services and pharmacy prescriptions, the Company considers who controls the provision of services and prescriptions. The Company has determined they are acting as a principal in these relationships as the Company controls the goods or services prior to them being transferred to the ultimate customer.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w:t>
      </w:r>
    </w:p>
    <w:p>
      <w:pPr>
        <w:spacing w:after="0" w:line="205"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Cost of services primarily includes chemotherapy drug costs, clinician salaries and benefits, and medical supplies. Clinicians include oncologists, advanced practice providers such as physician assistants and nurse practitioners, registered nurses and pharmacy and lab personnel and other outside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Company considers all highly liquid investments with a maturity of three months or less when purchased to be cash equivalents. Cash and cash equivalents include cash or deposits with financial institutions and deposits in highly liquid money market securities. Deposits with financial institutions are insured by the Federal Deposit Insurance Corporation up to certain defined limits. Bank deposits at times may exceed federally insured limits. The Company has not experienced any losses in these accounts.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Patient Accounts Receivable, net</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Patient accounts receivable consist of amounts due from third-party payors, including Medicare, Medicaid, managed care providers and commercial providers along with self-pay customers which includes the patient responsibility portion for patients with insurance. Patient accounts receivable are carried at the amount of consideration the Company expects to collect based on the historical collection rate which takes into consideration any allowance for credit losses. The Company utilizes a historical loss rate method, adjusted for any changes in economic conditions or risk characteristics, to estimate its expected credit losses each period. When developing an estimate of expected credit losses, the Company considers all available relevant information regarding the collectability of cash flows, including historical information, current conditions, and reasonable and supportable forecasts of future economic conditions over the contractual life of the receivable. The historical loss rate method considers past write-offs of trade accounts receivable over a period commensurate with the initial term of the Company’s contracts with its customers. The Company recognizes the allowance for credit losses at inception and reassesses periodically based on management’s expectation of the asset’s collectability. The Company’s patient accounts receivable are short-term in nature and written off only when all collection attempts have failed. The Company recorded $620,426 as an</w:t>
      </w: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740"/>
          </w:cols>
          <w:pgMar w:left="820" w:top="1440" w:right="339" w:bottom="1440" w:gutter="0" w:footer="0" w:header="0"/>
        </w:sectPr>
      </w:pPr>
    </w:p>
    <w:bookmarkStart w:id="14" w:name="page15"/>
    <w:bookmarkEnd w:id="14"/>
    <w:p>
      <w:pPr>
        <w:spacing w:after="0" w:line="293" w:lineRule="exact"/>
        <w:rPr>
          <w:sz w:val="20"/>
          <w:szCs w:val="20"/>
          <w:color w:val="auto"/>
        </w:rPr>
      </w:pPr>
    </w:p>
    <w:p>
      <w:pPr>
        <w:jc w:val="both"/>
        <w:ind w:left="120"/>
        <w:spacing w:after="0" w:line="314" w:lineRule="auto"/>
        <w:rPr>
          <w:sz w:val="20"/>
          <w:szCs w:val="20"/>
          <w:color w:val="auto"/>
        </w:rPr>
      </w:pPr>
      <w:r>
        <w:rPr>
          <w:rFonts w:ascii="Times New Roman" w:cs="Times New Roman" w:eastAsia="Times New Roman" w:hAnsi="Times New Roman"/>
          <w:sz w:val="17"/>
          <w:szCs w:val="17"/>
          <w:color w:val="auto"/>
        </w:rPr>
        <w:t>allowance for credit losses as of December 31, 2023 which represents an increase of $128,447 from the balance at adoption of CECL due to additional provisions for credit losses in 2023.</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Concentrations of patient accounts receivable, net of allowances for contractual discounts and credit losses, as of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137795</wp:posOffset>
            </wp:positionV>
            <wp:extent cx="4730115" cy="1071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3011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patients accounts receivable, net balance was $7,197,321 as of January 1, 2023 and $8,152,414 as of December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17" w:lineRule="exact"/>
        <w:rPr>
          <w:sz w:val="20"/>
          <w:szCs w:val="20"/>
          <w:color w:val="auto"/>
        </w:rPr>
      </w:pPr>
    </w:p>
    <w:p>
      <w:pPr>
        <w:jc w:val="both"/>
        <w:ind w:left="120"/>
        <w:spacing w:after="0" w:line="298" w:lineRule="auto"/>
        <w:rPr>
          <w:sz w:val="20"/>
          <w:szCs w:val="20"/>
          <w:color w:val="auto"/>
        </w:rPr>
      </w:pPr>
      <w:r>
        <w:rPr>
          <w:rFonts w:ascii="Times New Roman" w:cs="Times New Roman" w:eastAsia="Times New Roman" w:hAnsi="Times New Roman"/>
          <w:sz w:val="17"/>
          <w:szCs w:val="17"/>
          <w:color w:val="auto"/>
        </w:rPr>
        <w:t>Inventories, consisting primarily of pharmaceuticals finished goods, are valued at the lower of cost or net realizable value, with cost being determined on a first-in, first-out basis. Obsolescence for inventories is estimated based on expiration dates and slow-moving inventory. No obsolescence allowances have been recorded as of December 31, 2023. If the Company determines that an item is obsolete, or the expected net realizable value upon sale is lower than the currently recorded cost, a write-down is recorded and charged to cost of revenue to reduce the inventory to its net realizable value and a new cost basis is established.</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Other Receivables</w:t>
      </w:r>
    </w:p>
    <w:p>
      <w:pPr>
        <w:spacing w:after="0" w:line="205" w:lineRule="exact"/>
        <w:rPr>
          <w:sz w:val="20"/>
          <w:szCs w:val="20"/>
          <w:color w:val="auto"/>
        </w:rPr>
      </w:pPr>
    </w:p>
    <w:p>
      <w:pPr>
        <w:jc w:val="both"/>
        <w:ind w:left="120"/>
        <w:spacing w:after="0" w:line="330" w:lineRule="auto"/>
        <w:rPr>
          <w:sz w:val="20"/>
          <w:szCs w:val="20"/>
          <w:color w:val="auto"/>
        </w:rPr>
      </w:pPr>
      <w:r>
        <w:rPr>
          <w:rFonts w:ascii="Times New Roman" w:cs="Times New Roman" w:eastAsia="Times New Roman" w:hAnsi="Times New Roman"/>
          <w:sz w:val="17"/>
          <w:szCs w:val="17"/>
          <w:color w:val="auto"/>
        </w:rPr>
        <w:t>Other receivables consist primarily of rebates on drug purchases made in the current period which are offered as an incentive by the distributor and/or manufacturer and are not yet paid as of year-end.</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7" w:lineRule="exact"/>
        <w:rPr>
          <w:sz w:val="20"/>
          <w:szCs w:val="20"/>
          <w:color w:val="auto"/>
        </w:rPr>
      </w:pPr>
    </w:p>
    <w:p>
      <w:pPr>
        <w:jc w:val="both"/>
        <w:ind w:left="120"/>
        <w:spacing w:after="0" w:line="314" w:lineRule="auto"/>
        <w:rPr>
          <w:sz w:val="20"/>
          <w:szCs w:val="20"/>
          <w:color w:val="auto"/>
        </w:rPr>
      </w:pPr>
      <w:r>
        <w:rPr>
          <w:rFonts w:ascii="Times New Roman" w:cs="Times New Roman" w:eastAsia="Times New Roman" w:hAnsi="Times New Roman"/>
          <w:sz w:val="17"/>
          <w:szCs w:val="17"/>
          <w:color w:val="auto"/>
        </w:rPr>
        <w:t>Property and equipment are recorded at cost and depreciated using the straight-line method over the estimated useful lives of the assets. A summary of the lives used for computing depreciation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229235</wp:posOffset>
            </wp:positionV>
            <wp:extent cx="4624705" cy="941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4705" cy="94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0"/>
        <w:spacing w:after="0" w:line="298" w:lineRule="auto"/>
        <w:rPr>
          <w:sz w:val="20"/>
          <w:szCs w:val="20"/>
          <w:color w:val="auto"/>
        </w:rPr>
      </w:pPr>
      <w:r>
        <w:rPr>
          <w:rFonts w:ascii="Times New Roman" w:cs="Times New Roman" w:eastAsia="Times New Roman" w:hAnsi="Times New Roman"/>
          <w:sz w:val="17"/>
          <w:szCs w:val="17"/>
          <w:color w:val="auto"/>
        </w:rPr>
        <w:t>Maintenance and repairs that do not improve service potential or extend economic life are expensed as incurred. Expenditures for major improvements and additions are capitalized. Long-lived assets to be held and used are reviewed for impairment whenever events or changes in circumstances indicate that the carrying amount of an asset group may not be recoverable. In assessing long-lived assets for impairment, assets are grouped with other assets and liabilities at the lowest level for which identifiable cash flows are largely</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860"/>
          </w:cols>
          <w:pgMar w:left="700" w:top="1440" w:right="339" w:bottom="1440" w:gutter="0" w:footer="0" w:header="0"/>
        </w:sectPr>
      </w:pPr>
    </w:p>
    <w:bookmarkStart w:id="15" w:name="page16"/>
    <w:bookmarkEnd w:id="15"/>
    <w:p>
      <w:pPr>
        <w:spacing w:after="0" w:line="1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independent of the cash flows of other assets and liabilities. Recoverability is measured by a comparison of the carrying amount of an asset group to the undiscounted future net cash flows expected to be generated by the asset group. If estimated future undiscounted cash flows are not sufficient to recover the carrying value of the assets, impairment is measured by comparing the carrying amount of the assets to the estimated fair value, obtained through appraisal or market quotations, or discounted future net cash flow estimates. The Company did not recognize any long-lived asset impairments during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Company’s lease portfolio primarily consists of office and equipment leases for its practice facilities. 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As the Company’s operating leases do not generally provide an implicit rate, the incremental borrowing rate is used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Lease payments included in the measurement of the operating lease right-of-use (“ROU”) assets and lease liabilities are comprised of fixed payments, variable payments that depend on an index or rate, and the exercise price of a lessee option to purchase the underlying asset if the lessee is reasonably certain to exercise. Finance leases are included in property and equipment on the Balance Sheet.</w:t>
      </w:r>
    </w:p>
    <w:p>
      <w:pPr>
        <w:spacing w:after="0" w:line="1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Company elected not to recognize operating lease ROU assets and lease liabilities for all short-term leases (leases with an initial lease term of 12 months or less). The Company recognizes the lease payments associated with short-term leases as an expense over the lease term. Certain of the lease arrangements contain lease and non-lease components and the Company has elected the practical expedient to combine these components.</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operating lease ROU assets are initially measured at cost, which comprises the initial amount of the lease liability adjusted for lease payments made at or before the lease commencement date, plus any initial direct costs incurred less any lease incentives received. The operating lease ROU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The operating lease liabilities are initially measured at the present value of the unpaid lease payments at the lease commencement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Company, with shareholders’ consent, has elected to be taxed as an "S Corporation" under the provisions of the Internal Revenue Code and comparable state income tax law. As an “S Corporation” the Company is generally not subject to corporate income taxes and the Company's net income or loss is reported on the individual tax return of the shareholder of the Company. The Company and its shareholders have agreed that the Company will provide for and pay any state income taxes as they arise on behalf of the shareholders. As such, the provision for income taxes included in the Statement of Operations represents only state income taxes.</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740"/>
          </w:cols>
          <w:pgMar w:left="820" w:top="1440" w:right="339" w:bottom="1440" w:gutter="0" w:footer="0" w:header="0"/>
        </w:sectPr>
      </w:pPr>
    </w:p>
    <w:bookmarkStart w:id="16" w:name="page17"/>
    <w:bookmarkEnd w:id="16"/>
    <w:p>
      <w:pPr>
        <w:spacing w:after="0" w:line="2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Accounting for uncertainty in income taxes prescribes a recognition threshold and measurement attribute for the financial statement recognition and measurement of a tax position taken, or expected to be taken, in a tax return. Management has evaluated its tax positions and has concluded that the Company has taken no uncertain tax positions that could require adjustment or disclosure in the financial statements to comply with provisions set forth in Accounting Standards Codification (“ASC”) Topic 740, Income Taxes. The Company files income tax returns in the U.S. and the state of Georgia. The Company is no longer subject to U.S. federal, state, and local income tax examinations by tax authorities for years before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21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Advertising costs are expensed as incurred. Advertising costs for the year ended December 31, 2023 were $136,121. All advertising costs are included within general and administrative expenses in the Statement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Joint Venture</w:t>
      </w:r>
    </w:p>
    <w:p>
      <w:pPr>
        <w:spacing w:after="0" w:line="21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Company uses the equity method of accounting to record transactions associated with its joint venture when the Company shares in joint control of the investee. Investment in joint venture is not consolidated but is recorded in investment in joint venture in the Company’s Balance Sheet. The Company recognizes its portion of the investee’s results in equity in earnings from joint venture in its Statement of Operations.</w:t>
      </w:r>
    </w:p>
    <w:p>
      <w:pPr>
        <w:spacing w:after="0" w:line="1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The Company evaluates all distributions received from its equity method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of operating activities on the Company’s Statement of Cash Flows, or as a return of investment, which is presented as a component of investing activities on the Company’s Statement of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7"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and accounts receivable. Although certain cash accounts exceed the federally insured deposit amount, management has not previously experienced nonperformance by any financial institution.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1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the principal or most advantageous market in an orderly transaction between market participants on the measurement date. The carrying values of cash and cash equivalents, receivables, accounts payable and other current liabilities approximate fair value due to their short-term nature.</w:t>
      </w:r>
    </w:p>
    <w:p>
      <w:pPr>
        <w:spacing w:after="0" w:line="13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p>
      <w:pPr>
        <w:spacing w:after="0" w:line="13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color w:val="auto"/>
        </w:rPr>
        <w:t>Level 1</w:t>
        <w:tab/>
        <w:t>Inputs to the valuation methodology are quoted prices (unadjusted) for an identical asset or liability in an active market.</w:t>
      </w:r>
    </w:p>
    <w:p>
      <w:pPr>
        <w:spacing w:after="0" w:line="200" w:lineRule="exact"/>
        <w:rPr>
          <w:sz w:val="20"/>
          <w:szCs w:val="20"/>
          <w:color w:val="auto"/>
        </w:rPr>
      </w:pPr>
    </w:p>
    <w:p>
      <w:pPr>
        <w:spacing w:after="0" w:line="2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740"/>
          </w:cols>
          <w:pgMar w:left="820" w:top="1440" w:right="339" w:bottom="1440" w:gutter="0" w:footer="0" w:header="0"/>
        </w:sectPr>
      </w:pPr>
    </w:p>
    <w:bookmarkStart w:id="17" w:name="page18"/>
    <w:bookmarkEnd w:id="17"/>
    <w:p>
      <w:pPr>
        <w:spacing w:after="0" w:line="293" w:lineRule="exact"/>
        <w:rPr>
          <w:sz w:val="20"/>
          <w:szCs w:val="20"/>
          <w:color w:val="auto"/>
        </w:rPr>
      </w:pPr>
    </w:p>
    <w:p>
      <w:pPr>
        <w:jc w:val="both"/>
        <w:ind w:left="1200" w:hanging="796"/>
        <w:spacing w:after="0" w:line="314" w:lineRule="auto"/>
        <w:tabs>
          <w:tab w:leader="none" w:pos="1180" w:val="left"/>
        </w:tabs>
        <w:rPr>
          <w:sz w:val="20"/>
          <w:szCs w:val="20"/>
          <w:color w:val="auto"/>
        </w:rPr>
      </w:pPr>
      <w:r>
        <w:rPr>
          <w:rFonts w:ascii="Times New Roman" w:cs="Times New Roman" w:eastAsia="Times New Roman" w:hAnsi="Times New Roman"/>
          <w:sz w:val="17"/>
          <w:szCs w:val="17"/>
          <w:color w:val="auto"/>
        </w:rPr>
        <w:t>Level 2</w:t>
        <w:tab/>
        <w:t>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27"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6"/>
          <w:szCs w:val="16"/>
          <w:color w:val="auto"/>
        </w:rPr>
        <w:t>Inputs to the valuation methodology are unobservable and significant to the fair value measurement of the asset or liability.</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December 31, 2023, there were no Level 3 financial instruments.</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13" w:lineRule="exact"/>
        <w:rPr>
          <w:sz w:val="20"/>
          <w:szCs w:val="20"/>
          <w:color w:val="auto"/>
        </w:rPr>
      </w:pPr>
    </w:p>
    <w:p>
      <w:pPr>
        <w:jc w:val="both"/>
        <w:ind w:left="500"/>
        <w:spacing w:after="0" w:line="296"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w:t>
      </w:r>
      <w:r>
        <w:rPr>
          <w:rFonts w:ascii="Times New Roman" w:cs="Times New Roman" w:eastAsia="Times New Roman" w:hAnsi="Times New Roman"/>
          <w:sz w:val="17"/>
          <w:szCs w:val="17"/>
          <w:color w:val="auto"/>
        </w:rPr>
        <w:t xml:space="preserve"> (“ASU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requires enhanced disclosures relating to significant estimates and judgments used in estimating credit losses, as well as the credit quality. ASU 2016-13 is effective for the Company for annual reporting periods beginning after December 15, 2022. The Company adopted ASU 2016-13 effective January 1, 2023 using the modified retrospective approach and revised its accounting policies and processes to facilitate this approach. The impact of the adoption was to reduce beginning retained earnings by $491,979.</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17" w:lineRule="exact"/>
        <w:rPr>
          <w:sz w:val="20"/>
          <w:szCs w:val="20"/>
          <w:color w:val="auto"/>
        </w:rPr>
      </w:pPr>
    </w:p>
    <w:p>
      <w:pPr>
        <w:jc w:val="both"/>
        <w:ind w:left="500"/>
        <w:spacing w:after="0" w:line="314" w:lineRule="auto"/>
        <w:rPr>
          <w:sz w:val="20"/>
          <w:szCs w:val="20"/>
          <w:color w:val="auto"/>
        </w:rPr>
      </w:pPr>
      <w:r>
        <w:rPr>
          <w:rFonts w:ascii="Times New Roman" w:cs="Times New Roman" w:eastAsia="Times New Roman" w:hAnsi="Times New Roman"/>
          <w:sz w:val="17"/>
          <w:szCs w:val="17"/>
          <w:color w:val="auto"/>
        </w:rPr>
        <w:t>There were no recently issued accounting pronouncements during the year ended December 31, 2023 which materially impacted the Company’s financial reporting and disclosures.</w:t>
      </w:r>
    </w:p>
    <w:p>
      <w:pPr>
        <w:spacing w:after="0" w:line="353" w:lineRule="exact"/>
        <w:rPr>
          <w:sz w:val="20"/>
          <w:szCs w:val="20"/>
          <w:color w:val="auto"/>
        </w:rPr>
      </w:pPr>
    </w:p>
    <w:p>
      <w:pPr>
        <w:ind w:left="480" w:hanging="478"/>
        <w:spacing w:after="0"/>
        <w:tabs>
          <w:tab w:leader="none" w:pos="4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242"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net, consisted of the following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161925</wp:posOffset>
            </wp:positionV>
            <wp:extent cx="4738370" cy="1071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3837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line="314" w:lineRule="auto"/>
        <w:rPr>
          <w:sz w:val="20"/>
          <w:szCs w:val="20"/>
          <w:color w:val="auto"/>
        </w:rPr>
      </w:pPr>
      <w:r>
        <w:rPr>
          <w:rFonts w:ascii="Times New Roman" w:cs="Times New Roman" w:eastAsia="Times New Roman" w:hAnsi="Times New Roman"/>
          <w:sz w:val="17"/>
          <w:szCs w:val="17"/>
          <w:color w:val="auto"/>
        </w:rPr>
        <w:t>For the year ended December 31, 2023, depreciation expense was $160,228, and is included as a separate line within costs and expenses in the Statement of Operations.</w:t>
      </w:r>
    </w:p>
    <w:p>
      <w:pPr>
        <w:spacing w:after="0" w:line="162"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Line of Credit</w:t>
      </w:r>
    </w:p>
    <w:p>
      <w:pPr>
        <w:spacing w:after="0" w:line="217" w:lineRule="exact"/>
        <w:rPr>
          <w:rFonts w:ascii="Times New Roman" w:cs="Times New Roman" w:eastAsia="Times New Roman" w:hAnsi="Times New Roman"/>
          <w:sz w:val="17"/>
          <w:szCs w:val="17"/>
          <w:b w:val="1"/>
          <w:bCs w:val="1"/>
          <w:color w:val="auto"/>
        </w:rPr>
      </w:pPr>
    </w:p>
    <w:p>
      <w:pPr>
        <w:jc w:val="both"/>
        <w:ind w:left="46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a revolving line of credit with a bank in the amount of $1,520,000 which provides for borrowings at the bank’s prime rate. There were no borrowings during 2023 on the line of credit and no balance was outstanding at December 31, 2023. The line of credit expires on November 15, 2024 and is secured by substantially all assets of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89" w:lineRule="exact"/>
        <w:rPr>
          <w:sz w:val="20"/>
          <w:szCs w:val="20"/>
          <w:color w:val="auto"/>
        </w:rPr>
      </w:pPr>
    </w:p>
    <w:p>
      <w:pPr>
        <w:ind w:left="460" w:hanging="458"/>
        <w:spacing w:after="0"/>
        <w:tabs>
          <w:tab w:leader="none" w:pos="4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 in Joint Venture</w:t>
      </w:r>
    </w:p>
    <w:p>
      <w:pPr>
        <w:spacing w:after="0" w:line="204" w:lineRule="exact"/>
        <w:rPr>
          <w:rFonts w:ascii="Times New Roman" w:cs="Times New Roman" w:eastAsia="Times New Roman" w:hAnsi="Times New Roman"/>
          <w:sz w:val="17"/>
          <w:szCs w:val="17"/>
          <w:b w:val="1"/>
          <w:bCs w:val="1"/>
          <w:color w:val="auto"/>
        </w:rPr>
      </w:pPr>
    </w:p>
    <w:p>
      <w:pPr>
        <w:jc w:val="both"/>
        <w:ind w:left="460"/>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22, 2010, the Company entered into an Operating Agreement (the “Joint Venture Agreement”) with Radiology Associates of Macon, P.C. to invest in a CT (“Computed Tomography”) scanner. Each company has a 50/50 equity interest in RAM-CGCC, LLC (“RAM-CGCC”), which was specifically formed to operate and execute the joint venture.</w:t>
      </w:r>
    </w:p>
    <w:p>
      <w:pPr>
        <w:spacing w:after="0" w:line="165" w:lineRule="exact"/>
        <w:rPr>
          <w:rFonts w:ascii="Times New Roman" w:cs="Times New Roman" w:eastAsia="Times New Roman" w:hAnsi="Times New Roman"/>
          <w:sz w:val="17"/>
          <w:szCs w:val="17"/>
          <w:b w:val="1"/>
          <w:bCs w:val="1"/>
          <w:color w:val="auto"/>
        </w:rPr>
      </w:pPr>
    </w:p>
    <w:p>
      <w:pPr>
        <w:jc w:val="both"/>
        <w:ind w:left="4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RAM-CGCC meets the accounting definition of a joint venture where neither party has control of the joint venture entity and both parties have joint control over the decision-making process in RAM-CGCC. As such, the Company uses the equity method of accounting to account for its share of the investment in RAM-CGCC. The Company’s share of earnings in RAM-CGCC for the year ended December 31, 2023 was $72,053 and is included in equity in earnings from joint venture on the Statement of Operations.</w:t>
      </w:r>
    </w:p>
    <w:p>
      <w:pPr>
        <w:spacing w:after="0" w:line="197" w:lineRule="exact"/>
        <w:rPr>
          <w:rFonts w:ascii="Times New Roman" w:cs="Times New Roman" w:eastAsia="Times New Roman" w:hAnsi="Times New Roman"/>
          <w:sz w:val="17"/>
          <w:szCs w:val="17"/>
          <w:b w:val="1"/>
          <w:bCs w:val="1"/>
          <w:color w:val="auto"/>
        </w:rPr>
      </w:pPr>
    </w:p>
    <w:p>
      <w:pPr>
        <w:jc w:val="both"/>
        <w:ind w:left="460"/>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January 2016, the Company entered into lease agreements for its two locations with RAM-CGCC to lease equipment and location space. The initial term was for twelve months and automatically renews annually unless either party provides 90 days written notice. Total rent expense under the lease agreement for the year ended December 31, 2023 was $278,664 and is included in cost of revenue in the Statement of Operations.</w:t>
      </w:r>
    </w:p>
    <w:p>
      <w:pPr>
        <w:spacing w:after="0" w:line="174" w:lineRule="exact"/>
        <w:rPr>
          <w:rFonts w:ascii="Times New Roman" w:cs="Times New Roman" w:eastAsia="Times New Roman" w:hAnsi="Times New Roman"/>
          <w:sz w:val="17"/>
          <w:szCs w:val="17"/>
          <w:b w:val="1"/>
          <w:bCs w:val="1"/>
          <w:color w:val="auto"/>
        </w:rPr>
      </w:pPr>
    </w:p>
    <w:p>
      <w:pPr>
        <w:ind w:left="460" w:hanging="458"/>
        <w:spacing w:after="0"/>
        <w:tabs>
          <w:tab w:leader="none" w:pos="4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43" w:lineRule="exact"/>
        <w:rPr>
          <w:sz w:val="20"/>
          <w:szCs w:val="20"/>
          <w:color w:val="auto"/>
        </w:rPr>
      </w:pPr>
    </w:p>
    <w:p>
      <w:pPr>
        <w:jc w:val="both"/>
        <w:ind w:left="500"/>
        <w:spacing w:after="0" w:line="303" w:lineRule="auto"/>
        <w:rPr>
          <w:sz w:val="20"/>
          <w:szCs w:val="20"/>
          <w:color w:val="auto"/>
        </w:rPr>
      </w:pPr>
      <w:r>
        <w:rPr>
          <w:rFonts w:ascii="Times New Roman" w:cs="Times New Roman" w:eastAsia="Times New Roman" w:hAnsi="Times New Roman"/>
          <w:sz w:val="17"/>
          <w:szCs w:val="17"/>
          <w:color w:val="auto"/>
        </w:rPr>
        <w:t>The Company currently leases office facilities and equipment for its practices under noncancelable operating and finance lease agreements expiring on various dates through 2028.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Right-of-use assets and lease liabilities consist of the following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161925</wp:posOffset>
            </wp:positionV>
            <wp:extent cx="4754245" cy="2344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54245"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15"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7"/>
          <w:szCs w:val="17"/>
          <w:color w:val="auto"/>
        </w:rPr>
        <w:t>The components of lease costs recognized in the Statement of Operations consist of the following for the year ended December 31, 2023 and are included in general and administrative expenses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4730115" cy="925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30115"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7"/>
          <w:szCs w:val="17"/>
          <w:color w:val="auto"/>
        </w:rPr>
        <w:t>The weighted-average remaining lease term as of December 31, 2023 was 1.72 years for operating leases and 4.10 years for finance leases. The weighted-average discount rate as of December 31, 2023 was 4.13% for operating leases and 5.57% for finance leases.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cash paid for amounts included in the measurement of lease liabilities for the year ended December 31,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4762500" cy="989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00" cy="98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7"/>
          <w:szCs w:val="17"/>
          <w:color w:val="auto"/>
        </w:rPr>
        <w:t>The following table reconciles the undiscounted cash flows expected to be paid in each of the next five years recorded in the Balance Sheet for operating and finance leases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4786630" cy="1800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8663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740"/>
          </w:cols>
          <w:pgMar w:left="820" w:top="1440" w:right="339" w:bottom="1440" w:gutter="0" w:footer="0" w:header="0"/>
        </w:sectPr>
      </w:pPr>
    </w:p>
    <w:bookmarkStart w:id="20" w:name="page21"/>
    <w:bookmarkEnd w:id="20"/>
    <w:p>
      <w:pPr>
        <w:spacing w:after="0" w:line="289" w:lineRule="exact"/>
        <w:rPr>
          <w:sz w:val="20"/>
          <w:szCs w:val="20"/>
          <w:color w:val="auto"/>
        </w:rPr>
      </w:pPr>
    </w:p>
    <w:p>
      <w:pPr>
        <w:ind w:left="480" w:hanging="478"/>
        <w:spacing w:after="0"/>
        <w:tabs>
          <w:tab w:leader="none" w:pos="4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7" w:lineRule="exact"/>
        <w:rPr>
          <w:rFonts w:ascii="Times New Roman" w:cs="Times New Roman" w:eastAsia="Times New Roman" w:hAnsi="Times New Roman"/>
          <w:sz w:val="17"/>
          <w:szCs w:val="17"/>
          <w:b w:val="1"/>
          <w:bCs w:val="1"/>
          <w:color w:val="auto"/>
        </w:rPr>
      </w:pPr>
    </w:p>
    <w:p>
      <w:pPr>
        <w:jc w:val="both"/>
        <w:ind w:left="500"/>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through its arrangements with certain contracts, is subject to the Medicare and Medicaid fraud and abuse laws which prohibit, among other things, any false claims, or any bribe, kick-back or rebate in return for the referral of Medicare and Medicaid patients. Violation of these prohibitions may</w:t>
      </w:r>
    </w:p>
    <w:p>
      <w:pPr>
        <w:jc w:val="both"/>
        <w:ind w:left="500"/>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result in civil and criminal penalties and exclusion from participation in the Medicare and Medicaid programs. Management has implemented policies and procedures they believe will assure that the Company is in substantial compliance with these laws. From time to time, the Company may receive requests for</w:t>
      </w:r>
    </w:p>
    <w:p>
      <w:pPr>
        <w:jc w:val="both"/>
        <w:ind w:left="500"/>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information from government agencies pursuant to their regulatory or investigational authority. Such requests can include subpoenas or demand letters for documents to assist the government in audits or investigations. Management believes that the outcome of any of these investigations would not have a</w:t>
      </w:r>
    </w:p>
    <w:p>
      <w:pPr>
        <w:jc w:val="both"/>
        <w:ind w:left="500"/>
        <w:spacing w:after="0" w:line="2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material adverse effect on the Company. Laws and regulations governing the Medicare program are complex and subject to interpretation. The Company believes that it is complying in all material respects with all applicable laws and regulations and is not aware of any pending or threatened investigations</w:t>
      </w:r>
    </w:p>
    <w:p>
      <w:pPr>
        <w:jc w:val="both"/>
        <w:ind w:left="50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involving allegations of potential wrongdoing that would have a material effect on the Company’s financial statements. Compliance with such laws and regulations can be subject to future government review and interpretation, as well as significant regulatory action including fines, penalties, and exclusion from the Medicare Program.</w:t>
      </w:r>
    </w:p>
    <w:p>
      <w:pPr>
        <w:spacing w:after="0" w:line="133" w:lineRule="exact"/>
        <w:rPr>
          <w:rFonts w:ascii="Times New Roman" w:cs="Times New Roman" w:eastAsia="Times New Roman" w:hAnsi="Times New Roman"/>
          <w:sz w:val="17"/>
          <w:szCs w:val="17"/>
          <w:b w:val="1"/>
          <w:bCs w:val="1"/>
          <w:color w:val="auto"/>
        </w:rPr>
      </w:pPr>
    </w:p>
    <w:p>
      <w:pPr>
        <w:ind w:left="500"/>
        <w:spacing w:after="0" w:line="31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subject to various legal proceedings and claims arising in the normal course of its business. In the opinion of management, the amount of the ultimate liability, if any, with respect to these lawsuits and claims will not have a material effect on the financial statements of the Company.</w:t>
      </w:r>
    </w:p>
    <w:p>
      <w:pPr>
        <w:spacing w:after="0" w:line="123" w:lineRule="exact"/>
        <w:rPr>
          <w:rFonts w:ascii="Times New Roman" w:cs="Times New Roman" w:eastAsia="Times New Roman" w:hAnsi="Times New Roman"/>
          <w:sz w:val="17"/>
          <w:szCs w:val="17"/>
          <w:b w:val="1"/>
          <w:bCs w:val="1"/>
          <w:color w:val="auto"/>
        </w:rPr>
      </w:pPr>
    </w:p>
    <w:p>
      <w:pPr>
        <w:ind w:left="480" w:hanging="478"/>
        <w:spacing w:after="0"/>
        <w:tabs>
          <w:tab w:leader="none" w:pos="4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Professional Liability Insurance</w:t>
      </w:r>
    </w:p>
    <w:p>
      <w:pPr>
        <w:spacing w:after="0" w:line="217"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purchased claims-made professional liability insurance coverage through May 31, 2024, covering up to $3,000,000 per incident and</w:t>
      </w:r>
    </w:p>
    <w:p>
      <w:pPr>
        <w:spacing w:after="0" w:line="47" w:lineRule="exact"/>
        <w:rPr>
          <w:rFonts w:ascii="Times New Roman" w:cs="Times New Roman" w:eastAsia="Times New Roman" w:hAnsi="Times New Roman"/>
          <w:sz w:val="17"/>
          <w:szCs w:val="17"/>
          <w:b w:val="1"/>
          <w:bCs w:val="1"/>
          <w:color w:val="auto"/>
        </w:rPr>
      </w:pPr>
    </w:p>
    <w:p>
      <w:pPr>
        <w:ind w:left="500"/>
        <w:spacing w:after="0" w:line="31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$5,000,000 million in annual aggregate for each physician and covering up to $1,000,000 million per incident and $3,000,000 million in the aggregate for each advanced practice provider. The policy does not require a deductible per incident.</w:t>
      </w:r>
    </w:p>
    <w:p>
      <w:pPr>
        <w:spacing w:after="0" w:line="123" w:lineRule="exact"/>
        <w:rPr>
          <w:rFonts w:ascii="Times New Roman" w:cs="Times New Roman" w:eastAsia="Times New Roman" w:hAnsi="Times New Roman"/>
          <w:sz w:val="17"/>
          <w:szCs w:val="17"/>
          <w:b w:val="1"/>
          <w:bCs w:val="1"/>
          <w:color w:val="auto"/>
        </w:rPr>
      </w:pPr>
    </w:p>
    <w:p>
      <w:pPr>
        <w:ind w:left="460" w:hanging="458"/>
        <w:spacing w:after="0"/>
        <w:tabs>
          <w:tab w:leader="none" w:pos="4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Concentration Risk</w:t>
      </w:r>
    </w:p>
    <w:p>
      <w:pPr>
        <w:spacing w:after="0" w:line="217" w:lineRule="exact"/>
        <w:rPr>
          <w:sz w:val="20"/>
          <w:szCs w:val="20"/>
          <w:color w:val="auto"/>
        </w:rPr>
      </w:pPr>
    </w:p>
    <w:p>
      <w:pPr>
        <w:ind w:left="500" w:right="80"/>
        <w:spacing w:after="0" w:line="314" w:lineRule="auto"/>
        <w:rPr>
          <w:sz w:val="20"/>
          <w:szCs w:val="20"/>
          <w:color w:val="auto"/>
        </w:rPr>
      </w:pPr>
      <w:r>
        <w:rPr>
          <w:rFonts w:ascii="Times New Roman" w:cs="Times New Roman" w:eastAsia="Times New Roman" w:hAnsi="Times New Roman"/>
          <w:sz w:val="17"/>
          <w:szCs w:val="17"/>
          <w:color w:val="auto"/>
        </w:rPr>
        <w:t>The Company’s purchases from one vendor as a percentage of cost of revenue were approximately 89% for the year ended December 31, 2023. As of December 31, 2023, the vendor accounted for approximately 99.6% of accounts payable.</w:t>
      </w:r>
    </w:p>
    <w:p>
      <w:pPr>
        <w:spacing w:after="0" w:line="123" w:lineRule="exact"/>
        <w:rPr>
          <w:sz w:val="20"/>
          <w:szCs w:val="20"/>
          <w:color w:val="auto"/>
        </w:rPr>
      </w:pPr>
    </w:p>
    <w:p>
      <w:pPr>
        <w:ind w:left="440" w:hanging="438"/>
        <w:spacing w:after="0"/>
        <w:tabs>
          <w:tab w:leader="none" w:pos="4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Benefits</w:t>
      </w:r>
    </w:p>
    <w:p>
      <w:pPr>
        <w:spacing w:after="0" w:line="21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sponsors a defined contribution 401(k) profit sharing plan (the “Plan”) pursuant to which employees can elect to defer a portion of their</w:t>
      </w:r>
    </w:p>
    <w:p>
      <w:pPr>
        <w:spacing w:after="0" w:line="47" w:lineRule="exact"/>
        <w:rPr>
          <w:rFonts w:ascii="Times New Roman" w:cs="Times New Roman" w:eastAsia="Times New Roman" w:hAnsi="Times New Roman"/>
          <w:sz w:val="17"/>
          <w:szCs w:val="17"/>
          <w:b w:val="1"/>
          <w:bCs w:val="1"/>
          <w:color w:val="auto"/>
        </w:rPr>
      </w:pPr>
    </w:p>
    <w:p>
      <w:pPr>
        <w:jc w:val="both"/>
        <w:ind w:left="460" w:right="8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compensation for funding of retirement investments. The Plan covers substantially all of its employees and contributions can be made up to the maximum allowed by law. Employer matching and profit-sharing contributions are discretionary. For the year ended December 31, 2023, total employer 401(k) matching and profit-sharing compensation expense was $224,503. Effective October 31, 2024, the Plan was terminated (See Note 12).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89" w:lineRule="exact"/>
        <w:rPr>
          <w:sz w:val="20"/>
          <w:szCs w:val="20"/>
          <w:color w:val="auto"/>
        </w:rPr>
      </w:pPr>
    </w:p>
    <w:p>
      <w:pPr>
        <w:ind w:left="480" w:hanging="478"/>
        <w:spacing w:after="0"/>
        <w:tabs>
          <w:tab w:leader="none" w:pos="4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7" w:lineRule="exact"/>
        <w:rPr>
          <w:rFonts w:ascii="Times New Roman" w:cs="Times New Roman" w:eastAsia="Times New Roman" w:hAnsi="Times New Roman"/>
          <w:sz w:val="17"/>
          <w:szCs w:val="17"/>
          <w:b w:val="1"/>
          <w:bCs w:val="1"/>
          <w:color w:val="auto"/>
        </w:rPr>
      </w:pPr>
    </w:p>
    <w:p>
      <w:pPr>
        <w:ind w:left="500"/>
        <w:spacing w:after="0" w:line="31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preparing these financial statements, the Company has evaluated events and transactions for potential recognition or disclosure through December 19, 2024, the date the financial statements were available to be issued.</w:t>
      </w:r>
    </w:p>
    <w:p>
      <w:pPr>
        <w:spacing w:after="0" w:line="127" w:lineRule="exact"/>
        <w:rPr>
          <w:rFonts w:ascii="Times New Roman" w:cs="Times New Roman" w:eastAsia="Times New Roman" w:hAnsi="Times New Roman"/>
          <w:sz w:val="17"/>
          <w:szCs w:val="17"/>
          <w:b w:val="1"/>
          <w:bCs w:val="1"/>
          <w:color w:val="auto"/>
        </w:rPr>
      </w:pPr>
    </w:p>
    <w:p>
      <w:pPr>
        <w:jc w:val="both"/>
        <w:ind w:left="1100" w:hanging="301"/>
        <w:spacing w:after="0" w:line="306" w:lineRule="auto"/>
        <w:tabs>
          <w:tab w:leader="none" w:pos="109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April 1, 2024, the shareholders of the Company entered into an Asset Purchase Agreement (“APA”) to sell certain clinical and non-clinical assets and the business of CGCC to subsidiaries of AON, Inc. for approximately $13,300,000 in the form of cash of $6,900,000 and a promissory note of $6,400,000 payable over a five-year period.</w:t>
      </w:r>
    </w:p>
    <w:p>
      <w:pPr>
        <w:spacing w:after="0" w:line="133" w:lineRule="exact"/>
        <w:rPr>
          <w:rFonts w:ascii="Times New Roman" w:cs="Times New Roman" w:eastAsia="Times New Roman" w:hAnsi="Times New Roman"/>
          <w:sz w:val="17"/>
          <w:szCs w:val="17"/>
          <w:color w:val="auto"/>
        </w:rPr>
      </w:pPr>
    </w:p>
    <w:p>
      <w:pPr>
        <w:ind w:left="1100" w:hanging="301"/>
        <w:spacing w:after="0" w:line="314" w:lineRule="auto"/>
        <w:tabs>
          <w:tab w:leader="none" w:pos="109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above transaction, pursuant to the lessor’s early termination rights under one of the Company’s facility leases, an operating lease on such facility was early terminated effective May 2, 2025.</w:t>
      </w:r>
    </w:p>
    <w:p>
      <w:pPr>
        <w:spacing w:after="0" w:line="127" w:lineRule="exact"/>
        <w:rPr>
          <w:rFonts w:ascii="Times New Roman" w:cs="Times New Roman" w:eastAsia="Times New Roman" w:hAnsi="Times New Roman"/>
          <w:sz w:val="17"/>
          <w:szCs w:val="17"/>
          <w:color w:val="auto"/>
        </w:rPr>
      </w:pPr>
    </w:p>
    <w:p>
      <w:pPr>
        <w:ind w:left="1100" w:hanging="301"/>
        <w:spacing w:after="0"/>
        <w:tabs>
          <w:tab w:leader="none" w:pos="11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October 31, 2024, the Company terminated its defined contribution 401(k) profit sharing plan as the Company employees were able to</w:t>
      </w:r>
    </w:p>
    <w:p>
      <w:pPr>
        <w:spacing w:after="0" w:line="47" w:lineRule="exact"/>
        <w:rPr>
          <w:rFonts w:ascii="Times New Roman" w:cs="Times New Roman" w:eastAsia="Times New Roman" w:hAnsi="Times New Roman"/>
          <w:sz w:val="17"/>
          <w:szCs w:val="17"/>
          <w:color w:val="auto"/>
        </w:rPr>
      </w:pPr>
    </w:p>
    <w:p>
      <w:pPr>
        <w:ind w:left="1100"/>
        <w:spacing w:after="0" w:line="31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the AON, Inc. plan in connection with the above acquisition. The Company has incurred no additional liabilities as a result of its termination of the above plan.</w:t>
      </w:r>
    </w:p>
    <w:p>
      <w:pPr>
        <w:spacing w:after="0" w:line="127" w:lineRule="exact"/>
        <w:rPr>
          <w:rFonts w:ascii="Times New Roman" w:cs="Times New Roman" w:eastAsia="Times New Roman" w:hAnsi="Times New Roman"/>
          <w:sz w:val="17"/>
          <w:szCs w:val="17"/>
          <w:color w:val="auto"/>
        </w:rPr>
      </w:pPr>
    </w:p>
    <w:p>
      <w:pPr>
        <w:ind w:left="1100" w:hanging="301"/>
        <w:spacing w:after="0" w:line="330" w:lineRule="auto"/>
        <w:tabs>
          <w:tab w:leader="none" w:pos="109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15, 2024, the Company borrowed $800,000 against its line of credit as discussed in Note 5. The borrowings were repaid on February 28, 2024.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On April 1, 2024, consolidated subsidiaries of American Oncology Network, Inc. (“AON” or the “Company”) acquired certain clinical and non-clinical assets of Central Georgia Cancer Care, P.C., (“CGCC”) from the CGCC shareholders (“Seller”) for consideration including i) a cash payment in the amount of $4.600 million at closing, ii) a Promissory Note in the amount of $6.400 million under which the terms require principal and interest payments in monthly installments over 60 months commencing May 1, 2024, and iii) a cash payment for the estimated value of acquired inventories at closing, subject to customary closing adjustments. The transaction (“CGCC Acquisition”) was determined to constitute a business combination in accordance with Accounting Standards Codification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under generally accepted accounting principles in the United States (“U.S. GAAP”).</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have been prepared in accordance with Article 11 of Regulation S-X under the Securities Act of 1933, as amended by the final rule, Release No.33-10786 “</w:t>
      </w:r>
      <w:r>
        <w:rPr>
          <w:rFonts w:ascii="Times New Roman" w:cs="Times New Roman" w:eastAsia="Times New Roman" w:hAnsi="Times New Roman"/>
          <w:sz w:val="17"/>
          <w:szCs w:val="17"/>
          <w:i w:val="1"/>
          <w:iCs w:val="1"/>
          <w:color w:val="auto"/>
        </w:rPr>
        <w:t>Amendments to Financial Disclosures about Acquired and Disposed Businesses,</w:t>
      </w:r>
      <w:r>
        <w:rPr>
          <w:rFonts w:ascii="Times New Roman" w:cs="Times New Roman" w:eastAsia="Times New Roman" w:hAnsi="Times New Roman"/>
          <w:sz w:val="17"/>
          <w:szCs w:val="17"/>
          <w:color w:val="auto"/>
        </w:rPr>
        <w:t>” and have been adjusted to include estimated transaction accounting adjustments which give effect to the CGCC Acquisition and the application of the acquisition method of accounting under U.S. GAAP. Under the acquisition method of accounting, the preliminary purchase price is allocated to the underlying tangible and intangible assets acquired and liabilities assumed based on their estimated fair values as of the acquisition date, with any excess purchase price allocated to goodwill. The pro forma adjustments are based on preliminary estimates and currently available information and assumptions that AON’s management believes are reasonable. The notes to the unaudited pro forma condensed combined financial statements provide a discussion of how such adjustments were derived and presented in the unaudited pro forma condensed combined financial statements. Changes in facts and circumstances or discovery of new information may result in revised estimates. Actual results and valuations may differ materially from the assumptions within the accompanying unaudited pro forma condensed combined financial information..</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and related notes as of and for the year ended December 31, 2023 have been derived from, and should be read in conjunction with:</w:t>
      </w:r>
    </w:p>
    <w:p>
      <w:pPr>
        <w:spacing w:after="0" w:line="178" w:lineRule="exact"/>
        <w:rPr>
          <w:sz w:val="20"/>
          <w:szCs w:val="20"/>
          <w:color w:val="auto"/>
        </w:rPr>
      </w:pPr>
    </w:p>
    <w:p>
      <w:pPr>
        <w:ind w:left="1220" w:hanging="605"/>
        <w:spacing w:after="0" w:line="283" w:lineRule="auto"/>
        <w:tabs>
          <w:tab w:leader="none" w:pos="12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AON and accompanying notes included in AON’s Annual Report on Form 10-K for the year ended December 31, 2023; and</w:t>
      </w:r>
    </w:p>
    <w:p>
      <w:pPr>
        <w:spacing w:after="0" w:line="50"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financial statements of CGCC for the year ended December 31, 2023 as incorporated by reference.</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unaudited pro forma condensed balance sheet as of December 31, 2023 gives effect to the CGCC Acquisition as if it occurred on December 31, 2023. The unaudited pro forma condensed statement of operations for the year ended December 31, 2023 gives effect to the CGCC Acquisition as if it occurred on January 1, 2023.</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are for illustrative and informational purposes only and are not intended to represent what AON’s results of operations or financial position would have been had the CGCC Acquisition occurred on the dates indicated, or what they will be for any future periods. The unaudited pro forma condensed combined financial statements do not reflect the realization of any expected cost savings, other synergies as a result of the acquisition, or integration costs.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868045</wp:posOffset>
            </wp:positionV>
            <wp:extent cx="6092825" cy="6442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92825"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1014095</wp:posOffset>
            </wp:positionV>
            <wp:extent cx="5808980" cy="5062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08980" cy="506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UNAUDITED PRO FORMA CONDENSED COMBINED 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the CGCC Acquisition</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April 1, 2024, consolidated subsidiaries of American Oncology Network, Inc. (“AON” or the “Company”) acquired certain clinical and non-clinical assets of Central Georgia Cancer Care, P.C., (“CGCC”) from the CGCC shareholders (“Seller”) for consideration including i) a cash payment in the amount of $4.600 million at closing, ii) a Promissory Note in the amount of $6.400 million under which the terms require principal and interest payments in monthly installments over 60 months commencing May 1, 2024, and iii) a cash payment for the estimated value of acquired inventories at closing, subject to customary closing adjustments (the “CGCC Acquisition”). CGCC provides treatment to patients with cancer and blood disorders at two practice locations in Macon, Georgia and Warner Robins, Georgia.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Basis of Presentation</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CGCC Acquisition is being accounted for as a business combination using the acquisition method of accounting under US GAAP, in accordance with the provisions of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(“ASC 805”) which requires assets acquired and liabilities assumed to be recorded at their acquisition date fair value.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defines the term “fair value” as “the price that would be received to sell an asset or paid to transfer a liability in an orderly transaction between market participants at the measurement date.” Fair value measurements can be highly subjective, and it is possible the application of reasonable judgement could develop different assumptions resulting in a range of alternative estimates using the same facts and circumstances.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the date of this Current Report, AON has completed the preliminary valuation studies necessary to determine the fair value of the CGCC assets to be acquired and the liabilities to be assumed and the related allocations of purchase price. The purchase price allocations are subject to further change if additional information is obtained. The Company intends to finalize the purchase price allocations as soon as practicable within the measurement period, but in no event later than one year following April 1, 2024 (the “Acquisition Date”). The final purchase price allocation may result in additional adjustments to the net assets acquired, including the residual amount allocated to goodwill during the measurement period. Transaction expenses related to the CGCC Acquisition were not material.</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AON and CGCC’s historical financial statements were prepared in accordance with US GAAP. As discussed in Note 3, certain reclassifications were made to align CGCC’s historical financial statement presentation to AON’s financial statement presentation. Based on an analysis of AON and CGCC’s significant accounting policies, the Company has not identified any material differences in accounting policies that would have an impact on the unaudited pro forma condensed combined financial statements. As a result, the unaudited pro forma condensed combined financial statements do not assume any differences in accounting policies.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discussed in the historical audited consolidated financial statements of AON and accompanying notes included in AON’s Annual Report on Form 10-K for the year ended December 31, 2023, AON was party to a series of reorganization transactions which were completed on September 20, 2023 and were accounted for as a reverse capitalization in accordance with US GAAP. The transactions resulted in an umbrella partnership structure (frequently referred to as an “Up-C” structure) where pre-transaction owners (“Legacy AON Stockholders”) continue to own a non-controlling interest in a subsidiary of the surviving entity, AON. Accordingly, the unaudited pro forma condensed combined statement of operations reflects the net loss for the period from January 1 through September 20, 2023 allocated entirely to noncontrolling interest holders. Net loss for the period from September 21 through December 31, 2023 has been allocated between controlling and noncontrolling interest holders based on relative economic interests.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do not reflect any cost savings, operating synergies, revenue enhancements, integration costs, or realization of any income tax synergies and benefits. All amounts presented within these notes to the unaudited pro forma condensed combined financial statements are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Reclassification Adjustments to the CGCC Historical Reported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164465</wp:posOffset>
            </wp:positionV>
            <wp:extent cx="5160010" cy="4421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0010" cy="442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139"/>
          </w:cols>
          <w:pgMar w:left="320" w:top="144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Note 4 – Net Assets Retained by Seller</w:t>
      </w:r>
    </w:p>
    <w:p>
      <w:pPr>
        <w:spacing w:after="0" w:line="243" w:lineRule="exact"/>
        <w:rPr>
          <w:sz w:val="20"/>
          <w:szCs w:val="20"/>
          <w:color w:val="auto"/>
        </w:rPr>
      </w:pPr>
    </w:p>
    <w:p>
      <w:pPr>
        <w:jc w:val="both"/>
        <w:ind w:left="300" w:hanging="298"/>
        <w:spacing w:after="0" w:line="267" w:lineRule="auto"/>
        <w:tabs>
          <w:tab w:leader="none" w:pos="29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CGCC Acquisition excluded certain assets and liabilities of CGCC that were retained by the Seller in accordance with the contractual terms of the Asset Purchase Agreement. The following assets and liabilities have been adjusted from the historical financial statements of CGCC as Net Assets Retained by Seller in the accompanying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5160010" cy="1906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010" cy="190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CGCC Acquisition and Acquisition Accounting Adjustments to Unaudited Pro Forma Condensed Combined Balance Sheet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 of Consideration Transferred</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unaudited pro forma condensed combined financial data reflects total consideration of the cash purchase price and a promissory note issued to the Seller. The promissory note was issued in the amount of $6,400 and includes monthly repayment of principal commencing on May 1, 2024 and continuing for the following 59 calendar months. Monthly payments are in an amount equal to i) $107 plus ii) the amount of interest accrued on the outstanding principal balance through the applicable payment date calculated at AON’s variable cost of borrowing for the calendar month immediately preceding such payment date. The note was recorded at its estimated fair value of $6,550 which represented 102.39% of face value as the stated rate was lower than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Preliminary Purchase Price Allocation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preliminary purchase price allocation has been used to prepare pro forma adjustments in the unaudited pro forma condensed combined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5176520" cy="2433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6520" cy="243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inventory balance represents the carrying value as of December 31, 2023 which the Company believes approximates fair value.</w:t>
      </w:r>
    </w:p>
    <w:p>
      <w:pPr>
        <w:spacing w:after="0" w:line="238" w:lineRule="exact"/>
        <w:rPr>
          <w:rFonts w:ascii="Times New Roman" w:cs="Times New Roman" w:eastAsia="Times New Roman" w:hAnsi="Times New Roman"/>
          <w:sz w:val="17"/>
          <w:szCs w:val="17"/>
          <w:color w:val="auto"/>
        </w:rPr>
      </w:pPr>
    </w:p>
    <w:p>
      <w:pPr>
        <w:jc w:val="both"/>
        <w:ind w:left="300" w:hanging="298"/>
        <w:spacing w:after="0" w:line="267" w:lineRule="auto"/>
        <w:tabs>
          <w:tab w:leader="none" w:pos="2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determined the applicable fair values for any acquired intangible assets utilizing the relief-from-royalty method, a commonly accepted valuation technique which is an application of the income approach. The estimated useful lives are based on AON’s historical experience and expectations as to the duration of time a market participant would expect to realize benefits from those assets. The estimated useful life assigned to the trade names is ten years.</w:t>
      </w:r>
    </w:p>
    <w:p>
      <w:pPr>
        <w:spacing w:after="0" w:line="190"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pro forma adjustment (c) below for adjustments to the unaudited pro forma condensed combined balance sheet relating to lease.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Adjustments to Unaudited Pro Forma Condensed Combined Balance Sheet</w:t>
      </w:r>
    </w:p>
    <w:p>
      <w:pPr>
        <w:spacing w:after="0" w:line="243" w:lineRule="exact"/>
        <w:rPr>
          <w:sz w:val="20"/>
          <w:szCs w:val="20"/>
          <w:color w:val="auto"/>
        </w:rPr>
      </w:pPr>
    </w:p>
    <w:p>
      <w:pPr>
        <w:ind w:left="300" w:hanging="298"/>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cash consideration paid to the Seller in accordance with the terms of the Asset Purchase Agreement as follows: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6" w:lineRule="exact"/>
        <w:rPr>
          <w:rFonts w:ascii="Times New Roman" w:cs="Times New Roman" w:eastAsia="Times New Roman" w:hAnsi="Times New Roman"/>
          <w:sz w:val="17"/>
          <w:szCs w:val="17"/>
          <w:color w:val="auto"/>
        </w:rPr>
      </w:pPr>
    </w:p>
    <w:p>
      <w:pPr>
        <w:ind w:left="300" w:hanging="298"/>
        <w:spacing w:after="0" w:line="283" w:lineRule="auto"/>
        <w:tabs>
          <w:tab w:leader="none" w:pos="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preliminarily assessed the fair value of the property and equipment at the Acquisition Date and determined the fair value was de minimis. Accordingly, no value has been assigned to property and equipment in purchase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-946785</wp:posOffset>
            </wp:positionV>
            <wp:extent cx="5160010" cy="47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001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46" w:right="339" w:bottom="1440" w:gutter="0" w:footer="0" w:header="0"/>
        </w:sectPr>
      </w:pPr>
    </w:p>
    <w:bookmarkStart w:id="29" w:name="page30"/>
    <w:bookmarkEnd w:id="29"/>
    <w:p>
      <w:pPr>
        <w:jc w:val="both"/>
        <w:ind w:left="300" w:hanging="298"/>
        <w:spacing w:after="0" w:line="269" w:lineRule="auto"/>
        <w:tabs>
          <w:tab w:leader="none" w:pos="29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CGCC is the lessee in two operating leases related to practices in Macon and Warner Robins, Georgia.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requires an acquiree who is a lessee in a business combination to remeasure lease assets and lease liabilities as if the lease were a new lease at the acquisition date, including assessment of renewal options. The Company considered the following in estimating its preliminary adjustments in purchase accounting:</w:t>
      </w:r>
    </w:p>
    <w:p>
      <w:pPr>
        <w:spacing w:after="0" w:line="185"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Macon</w:t>
      </w:r>
    </w:p>
    <w:p>
      <w:pPr>
        <w:spacing w:after="0" w:line="242" w:lineRule="exact"/>
        <w:rPr>
          <w:rFonts w:ascii="Times New Roman" w:cs="Times New Roman" w:eastAsia="Times New Roman" w:hAnsi="Times New Roman"/>
          <w:sz w:val="17"/>
          <w:szCs w:val="17"/>
          <w:color w:val="auto"/>
        </w:rPr>
      </w:pPr>
    </w:p>
    <w:p>
      <w:pPr>
        <w:jc w:val="both"/>
        <w:ind w:left="3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Macon lease includes a lessor option to terminate the lease effective May 2, 2025. Periods covered by an option to extend (or not to terminate) the lease where exercise of the option is controlled by the lessor are included in the lease term. Upon closing of the CGCC Acquisition, the lessor advised CGCC of their intentions to terminate the lease effective May 2, 2025. Accordingly, the Company has estimated its remeasurement of the lease asset and lease liabilities assuming termination on May 2, 2025 assuming an incremental borrowing rate of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5160010" cy="925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0010" cy="92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Warner Robins</w:t>
      </w:r>
    </w:p>
    <w:p>
      <w:pPr>
        <w:spacing w:after="0" w:line="243"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Warner Robins lease originally included a ten-year lessee renewal option period that was not included in the lease term at inception of the lease. Based on reassessment of the lease at the Acquisition Date, AON determined it was more likely than not that AON would exercise the renewal option. Accordingly, AON recorded the following remeasurement adjustments based assuming an incremental borrowing rate of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5160010" cy="949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010" cy="94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lease adjustments for the two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5160010" cy="957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010" cy="95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(d) Represents the purchase accounting adjustment for intangible assets and goodwill based on the acquisition method of accounting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5176520"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65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December 31, 2023, AON presented goodwill and intangible assets in its historical financial statements in a single line item caption on the balance sheet titled “Goodwill and intangibles, net” in the amount of $1,230. Beginning with its quarterly financial statements for the period ended June 30, 2024, AON has separated Goodwill and Intangibles, net into separate financial statement line items. The historical AON financial statements have been reclassified to reflect this change in presentation. At December 31, 2023, the entire balance of $1,230 was attributable to goodwill.</w:t>
      </w:r>
    </w:p>
    <w:p>
      <w:pPr>
        <w:spacing w:after="0" w:line="197" w:lineRule="exact"/>
        <w:rPr>
          <w:sz w:val="20"/>
          <w:szCs w:val="20"/>
          <w:color w:val="auto"/>
        </w:rPr>
      </w:pPr>
    </w:p>
    <w:p>
      <w:pPr>
        <w:ind w:left="300" w:hanging="298"/>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fair value of the promissory note issued to the Seller as part of the fair value of consideration transferred.</w:t>
      </w:r>
    </w:p>
    <w:p>
      <w:pPr>
        <w:spacing w:after="0" w:line="23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adjustments to shareholders’ equity to eliminate the historical retained earnings of CGCC.</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Acquisition Accounting Adjustments to Unaudited Pro Forma Condensed Combined Statement of Operations</w:t>
      </w:r>
    </w:p>
    <w:p>
      <w:pPr>
        <w:spacing w:after="0" w:line="243" w:lineRule="exact"/>
        <w:rPr>
          <w:sz w:val="20"/>
          <w:szCs w:val="20"/>
          <w:color w:val="auto"/>
        </w:rPr>
      </w:pPr>
    </w:p>
    <w:p>
      <w:pPr>
        <w:ind w:left="300" w:hanging="298"/>
        <w:spacing w:after="0" w:line="283" w:lineRule="auto"/>
        <w:tabs>
          <w:tab w:leader="none" w:pos="2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amortization of trade names intangibles assets related to the Acquisition of CGCC over a 10-year period as if the CGCC Acquisition occurred on January 1, 2023 offset by the removal of historical depreciation expense on property and equipment assigned a zero value in purchase accounting.</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6" w:lineRule="exact"/>
        <w:rPr>
          <w:rFonts w:ascii="Times New Roman" w:cs="Times New Roman" w:eastAsia="Times New Roman" w:hAnsi="Times New Roman"/>
          <w:sz w:val="17"/>
          <w:szCs w:val="17"/>
          <w:color w:val="auto"/>
        </w:rPr>
      </w:pPr>
    </w:p>
    <w:p>
      <w:pPr>
        <w:jc w:val="both"/>
        <w:ind w:left="300" w:hanging="298"/>
        <w:spacing w:after="0" w:line="267" w:lineRule="auto"/>
        <w:tabs>
          <w:tab w:leader="none" w:pos="24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interest expense (including amortization of loan premium) on the Seller’s promissory note as if the CGCC Acquisition occurred on January 1, 2023. Interest expense was calculated at an effective interest rate of approximately 6.7% for the year ended December 31, 2023 based on the Company’s monthly incremental borrowing rate.</w:t>
      </w:r>
    </w:p>
    <w:p>
      <w:pPr>
        <w:spacing w:after="0" w:line="190" w:lineRule="exact"/>
        <w:rPr>
          <w:rFonts w:ascii="Times New Roman" w:cs="Times New Roman" w:eastAsia="Times New Roman" w:hAnsi="Times New Roman"/>
          <w:sz w:val="17"/>
          <w:szCs w:val="17"/>
          <w:color w:val="auto"/>
        </w:rPr>
      </w:pPr>
    </w:p>
    <w:p>
      <w:pPr>
        <w:ind w:left="380" w:hanging="378"/>
        <w:spacing w:after="0" w:line="283" w:lineRule="auto"/>
        <w:tabs>
          <w:tab w:leader="none" w:pos="2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interest income earned on cash and cash equivalents retained by Seller. Management believes interest income earned on cash used to fund the acquisition was immaterial and accordingly has not made any further adjustment.</w:t>
      </w:r>
    </w:p>
    <w:p>
      <w:pPr>
        <w:spacing w:after="0" w:line="177"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equity in earnings from the joint venture investment retained by Seller.</w:t>
      </w:r>
    </w:p>
    <w:p>
      <w:pPr>
        <w:spacing w:after="0" w:line="238" w:lineRule="exact"/>
        <w:rPr>
          <w:rFonts w:ascii="Times New Roman" w:cs="Times New Roman" w:eastAsia="Times New Roman" w:hAnsi="Times New Roman"/>
          <w:sz w:val="17"/>
          <w:szCs w:val="17"/>
          <w:color w:val="auto"/>
        </w:rPr>
      </w:pPr>
    </w:p>
    <w:p>
      <w:pPr>
        <w:jc w:val="both"/>
        <w:ind w:left="300" w:hanging="298"/>
        <w:spacing w:after="0" w:line="267" w:lineRule="auto"/>
        <w:tabs>
          <w:tab w:leader="none" w:pos="2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CGCC was taxed as a Subchapter S corporation which is generally not subject to corporate income taxes as the net income or loss is reported on the individual tax returns of the shareholders. CGCC and its shareholders elected to pay state income taxes at the entity level. This adjustment represents the elimination of the state income tax provision as the results of CGCC would be included in the consolidated income tax returns of AON.</w:t>
      </w:r>
    </w:p>
    <w:p>
      <w:pPr>
        <w:spacing w:after="0" w:line="190" w:lineRule="exact"/>
        <w:rPr>
          <w:rFonts w:ascii="Times New Roman" w:cs="Times New Roman" w:eastAsia="Times New Roman" w:hAnsi="Times New Roman"/>
          <w:sz w:val="17"/>
          <w:szCs w:val="17"/>
          <w:color w:val="auto"/>
        </w:rPr>
      </w:pPr>
    </w:p>
    <w:p>
      <w:pPr>
        <w:jc w:val="both"/>
        <w:ind w:left="3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AON’s recent history of net losses and its full valuation allowance position, AON assumed an effective tax rate of 0%. Accordingly, the pro forma adjustments to the condensed combined statement of operations resulted in no additional income tax adjustment to the unaudited pro forma condensed combined financial statements. The pro forma condensed combined provision for income taxes does not necessarily reflect the amounts that would have resulted had CGCC and AON filed consolidated income tax returns during the annual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-3035935</wp:posOffset>
            </wp:positionV>
            <wp:extent cx="5176520" cy="551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6520"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50" w:right="339" w:bottom="1440" w:gutter="0" w:footer="0" w:header="0"/>
        </w:sectPr>
      </w:pPr>
    </w:p>
    <w:bookmarkStart w:id="31" w:name="page32"/>
    <w:bookmarkEnd w:id="31"/>
    <w:p>
      <w:pPr>
        <w:jc w:val="both"/>
        <w:ind w:left="300" w:hanging="298"/>
        <w:spacing w:after="0" w:line="269" w:lineRule="auto"/>
        <w:tabs>
          <w:tab w:leader="none" w:pos="29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Noncontrolling interest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For the period January 1, 2023 through September 20, 2023, the pro forma accounting adjustments have been allocated to Net income (loss) and noncontrolling interest attributable to Legacy AON Stockholders prior to the reverse recapitalization in the unaudited pro forma condensed combined statement of operations based on the number on the number of days prior to the reverse recapitalization to the total days in the fiscal year.</w:t>
      </w:r>
    </w:p>
    <w:p>
      <w:pPr>
        <w:spacing w:after="0" w:line="62" w:lineRule="exact"/>
        <w:rPr>
          <w:rFonts w:ascii="Times New Roman" w:cs="Times New Roman" w:eastAsia="Times New Roman" w:hAnsi="Times New Roman"/>
          <w:sz w:val="17"/>
          <w:szCs w:val="17"/>
          <w:color w:val="auto"/>
        </w:rPr>
      </w:pPr>
    </w:p>
    <w:p>
      <w:pPr>
        <w:jc w:val="both"/>
        <w:ind w:left="30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period September 21, 2023 through December 31, 2023, the pro forma accounting adjustments were allocated to the Class A Common Stockholders based on an absorption of 19.2% of the net loss to noncontrolling interest and reflects the Legacy AON Stockholders’ absorption of 80.8% of the net losses of American Oncology Network, LLC (“AON LLC”). The absorption percentages are based on actual rates for the period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Net Loss Per Share</w:t>
      </w:r>
    </w:p>
    <w:p>
      <w:pPr>
        <w:spacing w:after="0" w:line="24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table sets forth the pro forma basic and diluted net loss per share attributable to Class A Common Stockholders using the historical weighted average shares outstanding of AON as no additional shares were issued in connection with the CGCC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5176520" cy="1176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6520"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The following details the securities that have been excluded from the calculation of weighted-average shares for diluted loss per share for the period presented as they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5208905" cy="706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08905" cy="70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8"/>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lowerLetter"/>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2024-12-19T15:36:17Z</dcterms:created>
  <dcterms:modified xsi:type="dcterms:W3CDTF">2024-12-19T15:36:17Z</dcterms:modified>
</cp:coreProperties>
</file>