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37" w:lineRule="exact"/>
        <w:rPr>
          <w:sz w:val="24"/>
          <w:szCs w:val="24"/>
          <w:color w:val="auto"/>
        </w:rPr>
      </w:pPr>
    </w:p>
    <w:p>
      <w:pPr>
        <w:jc w:val="center"/>
        <w:ind w:left="340" w:right="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5" w:lineRule="exact"/>
        <w:rPr>
          <w:sz w:val="24"/>
          <w:szCs w:val="24"/>
          <w:color w:val="auto"/>
        </w:rPr>
      </w:pPr>
    </w:p>
    <w:tbl>
      <w:tblPr>
        <w:tblLayout w:type="fixed"/>
        <w:tblInd w:w="1900" w:type="dxa"/>
        <w:tblCellMar>
          <w:top w:w="0" w:type="dxa"/>
          <w:left w:w="0" w:type="dxa"/>
          <w:bottom w:w="0" w:type="dxa"/>
          <w:right w:w="0" w:type="dxa"/>
        </w:tblCellMar>
      </w:tblPr>
      <w:tr>
        <w:trPr>
          <w:trHeight w:val="241"/>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w:t>
            </w:r>
          </w:p>
        </w:tc>
        <w:tc>
          <w:tcPr>
            <w:tcW w:w="5400" w:type="dxa"/>
            <w:vAlign w:val="bottom"/>
            <w:tcBorders>
              <w:bottom w:val="single" w:sz="8" w:color="auto"/>
            </w:tcBorders>
          </w:tcPr>
          <w:p>
            <w:pPr>
              <w:jc w:val="right"/>
              <w:ind w:right="2170"/>
              <w:spacing w:after="0"/>
              <w:rPr>
                <w:sz w:val="20"/>
                <w:szCs w:val="20"/>
                <w:color w:val="auto"/>
              </w:rPr>
            </w:pPr>
            <w:r>
              <w:rPr>
                <w:rFonts w:ascii="Times New Roman" w:cs="Times New Roman" w:eastAsia="Times New Roman" w:hAnsi="Times New Roman"/>
                <w:sz w:val="18"/>
                <w:szCs w:val="18"/>
                <w:color w:val="auto"/>
              </w:rPr>
              <w:t>333-274975</w:t>
            </w:r>
          </w:p>
        </w:tc>
      </w:tr>
    </w:tbl>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American Oncology Network,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14543 Global Parkway, Suite 110, Fort Myers, Florida 33913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Warrants to purchase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(Title of each class of securities covered by this Form)</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(Titles of all other classes of securities for which a duty to file reports under section 13(a) or 15(d) remains)</w:t>
      </w:r>
    </w:p>
    <w:p>
      <w:pPr>
        <w:spacing w:after="0" w:line="22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Rule 12g-4(a)(1)</w:t>
            </w:r>
          </w:p>
        </w:tc>
        <w:tc>
          <w:tcPr>
            <w:tcW w:w="2260" w:type="dxa"/>
            <w:vAlign w:val="bottom"/>
            <w:gridSpan w:val="3"/>
          </w:tcPr>
          <w:p>
            <w:pPr>
              <w:ind w:left="136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Rule 12g-4(a)(2)</w:t>
            </w:r>
          </w:p>
        </w:tc>
        <w:tc>
          <w:tcPr>
            <w:tcW w:w="2260" w:type="dxa"/>
            <w:vAlign w:val="bottom"/>
            <w:gridSpan w:val="3"/>
          </w:tcPr>
          <w:p>
            <w:pPr>
              <w:ind w:left="136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Rule 12h-3(b)(1)(i)</w:t>
            </w:r>
          </w:p>
        </w:tc>
        <w:tc>
          <w:tcPr>
            <w:tcW w:w="2260" w:type="dxa"/>
            <w:vAlign w:val="bottom"/>
            <w:gridSpan w:val="3"/>
          </w:tcPr>
          <w:p>
            <w:pPr>
              <w:ind w:left="136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Rule 12h-3(b)(1)(ii)</w:t>
            </w:r>
          </w:p>
        </w:tc>
        <w:tc>
          <w:tcPr>
            <w:tcW w:w="2260" w:type="dxa"/>
            <w:vAlign w:val="bottom"/>
            <w:gridSpan w:val="3"/>
          </w:tcPr>
          <w:p>
            <w:pPr>
              <w:ind w:left="136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Rule 15d-6</w:t>
            </w:r>
          </w:p>
        </w:tc>
        <w:tc>
          <w:tcPr>
            <w:tcW w:w="2260" w:type="dxa"/>
            <w:vAlign w:val="bottom"/>
            <w:gridSpan w:val="3"/>
          </w:tcPr>
          <w:p>
            <w:pPr>
              <w:ind w:left="136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Rule 15d-22(b)</w:t>
            </w:r>
          </w:p>
        </w:tc>
        <w:tc>
          <w:tcPr>
            <w:tcW w:w="2260" w:type="dxa"/>
            <w:vAlign w:val="bottom"/>
            <w:gridSpan w:val="3"/>
          </w:tcPr>
          <w:p>
            <w:pPr>
              <w:ind w:left="1360"/>
              <w:spacing w:after="0" w:line="181" w:lineRule="exact"/>
              <w:rPr>
                <w:sz w:val="20"/>
                <w:szCs w:val="20"/>
                <w:color w:val="auto"/>
              </w:rPr>
            </w:pPr>
            <w:r>
              <w:rPr>
                <w:rFonts w:ascii="MS PGothic" w:cs="MS PGothic" w:eastAsia="MS PGothic" w:hAnsi="MS PGothic"/>
                <w:sz w:val="18"/>
                <w:szCs w:val="18"/>
                <w:color w:val="auto"/>
              </w:rPr>
              <w:t>☐</w:t>
            </w:r>
          </w:p>
        </w:tc>
      </w:tr>
      <w:tr>
        <w:trPr>
          <w:trHeight w:val="40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Approximate number of holders of record of Class A Common Stock as of the certification or notice date:</w:t>
            </w:r>
          </w:p>
        </w:tc>
        <w:tc>
          <w:tcPr>
            <w:tcW w:w="1940" w:type="dxa"/>
            <w:vAlign w:val="bottom"/>
            <w:gridSpan w:val="2"/>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439"/>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Approximate number of holders of record of Warrants as of the certification or notice date:</w:t>
            </w:r>
          </w:p>
        </w:tc>
        <w:tc>
          <w:tcPr>
            <w:tcW w:w="1900" w:type="dxa"/>
            <w:vAlign w:val="bottom"/>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pacing w:after="0" w:line="198"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American Oncology Network, Inc. has caused this certification/notice to be signed on its behalf by the undersigned duly authorized person.</w:t>
      </w:r>
    </w:p>
    <w:p>
      <w:pPr>
        <w:spacing w:after="0" w:line="162" w:lineRule="exact"/>
        <w:rPr>
          <w:sz w:val="24"/>
          <w:szCs w:val="24"/>
          <w:color w:val="auto"/>
        </w:rPr>
      </w:pPr>
    </w:p>
    <w:p>
      <w:pPr>
        <w:spacing w:after="0"/>
        <w:tabs>
          <w:tab w:leader="none" w:pos="560" w:val="left"/>
          <w:tab w:leader="none" w:pos="3360" w:val="left"/>
          <w:tab w:leader="none" w:pos="3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b w:val="1"/>
          <w:bCs w:val="1"/>
          <w:color w:val="auto"/>
        </w:rPr>
        <w:t>January 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b w:val="1"/>
          <w:bCs w:val="1"/>
          <w:i w:val="1"/>
          <w:iCs w:val="1"/>
          <w:color w:val="auto"/>
        </w:rPr>
        <w:t>/s/ Todd Schonherz, 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26035</wp:posOffset>
            </wp:positionV>
            <wp:extent cx="67722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722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5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2025-01-02T05:07:18Z</dcterms:created>
  <dcterms:modified xsi:type="dcterms:W3CDTF">2025-01-02T05:07:18Z</dcterms:modified>
</cp:coreProperties>
</file>