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April 1, 2024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American Oncology Network,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001-40177</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85-3984427</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700" w:space="720"/>
            <w:col w:w="320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14543 Global Parkway, Suite 110</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Fort Myers, FL</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33913</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(833) 886-1725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3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9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3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9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16"/>
        </w:trPr>
        <w:tc>
          <w:tcPr>
            <w:tcW w:w="39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None</w:t>
            </w:r>
          </w:p>
        </w:tc>
        <w:tc>
          <w:tcPr>
            <w:tcW w:w="3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N/A</w:t>
            </w:r>
          </w:p>
        </w:tc>
        <w:tc>
          <w:tcPr>
            <w:tcW w:w="396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Amendment No. 1 to the Form 8-K originally filed on December 19, 2024 is being filed to include the corrected exhibit 99.1, which had previously inadvertently omitted the date in the audit report of McNair, McLemore, Middlebrooks &amp; Co., LLC.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changes to the disclosure set forth in Items 2.01 and 2.03 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On April 1, 2024, consolidated subsidiaries of American Oncology Network, Inc. (“AON” or the “Company”) acquired certain clinical and non-clinical assets of Central Georgia Cancer Care, P.C., (“CGCC”) from the CGCC shareholders for consideration consisting of (i) a cash payment in the amount of $4.6 million, (ii) a promissory note in the amount of $6.4 million under which the terms require principal and interest payments in monthly installments over 60 months commencing May 1, 2024, and (iii) a cash payment of approximately $2.3 million for acquired inventories, (the “CGCC Acquisition”). CGCC provides treatment to patients with cancer and blood disorders at two practice locations in Macon, Georgia and Warner Robins, Georgia.</w:t>
      </w:r>
    </w:p>
    <w:p>
      <w:pPr>
        <w:spacing w:after="0" w:line="18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is also filing herewith (i) audited financial statements of CGCC for the year ended December 31, 2023 and (ii) pro forma financial information related to the CGCC Acquisition, which are attached hereto as Exhibit 99.1 and 99.2,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2.03. Creation Of A Direct Financial Obligation Or An Obligation Under An Off-Balance Sheet Arrangement Of A Registrant.</w:t>
      </w:r>
    </w:p>
    <w:p>
      <w:pPr>
        <w:spacing w:after="0" w:line="22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212529"/>
        </w:rPr>
        <w:t>On April 1, 2024, in connection with the CGCC Acquisition, AON issued a promissory note in the amount of $6.4 million under which the terms require principal and interest payments in monthly installments over 60 months commencing May 1, 2024. Monthly payments are in an amount equal to (i) $106,666.67 plus (ii) the amount of interest accrued on the outstanding principal balance through the applicable payment date calculated at AON’s variable cost of borrowing for the calendar month immediately preceding such payment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70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76"/>
        </w:trPr>
        <w:tc>
          <w:tcPr>
            <w:tcW w:w="9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5"/>
                <w:szCs w:val="15"/>
                <w:color w:val="auto"/>
              </w:rPr>
            </w:pPr>
          </w:p>
        </w:tc>
        <w:tc>
          <w:tcPr>
            <w:tcW w:w="10100" w:type="dxa"/>
            <w:vAlign w:val="bottom"/>
            <w:tcBorders>
              <w:top w:val="single" w:sz="8" w:color="auto"/>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Audited financial statements of Central Georgia Cancer Care, P.C., for the year ended December 31, 2023.</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496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3">
              <w:r>
                <w:rPr>
                  <w:rFonts w:ascii="Times New Roman" w:cs="Times New Roman" w:eastAsia="Times New Roman" w:hAnsi="Times New Roman"/>
                  <w:sz w:val="18"/>
                  <w:szCs w:val="18"/>
                  <w:color w:val="0000EE"/>
                  <w:w w:val="99"/>
                </w:rPr>
                <w:t>Unaudited pro forma condensed combined financial information of the Company and Central Georgia Cancer Care, P.C., for the year ended</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spacing w:after="0"/>
              <w:rPr>
                <w:sz w:val="17"/>
                <w:szCs w:val="17"/>
                <w:color w:val="auto"/>
              </w:rPr>
            </w:pPr>
          </w:p>
        </w:tc>
        <w:tc>
          <w:tcPr>
            <w:tcW w:w="27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3">
              <w:r>
                <w:rPr>
                  <w:rFonts w:ascii="Times New Roman" w:cs="Times New Roman" w:eastAsia="Times New Roman" w:hAnsi="Times New Roman"/>
                  <w:sz w:val="18"/>
                  <w:szCs w:val="18"/>
                  <w:color w:val="0000EE"/>
                  <w:w w:val="99"/>
                </w:rPr>
                <w:t>December 31, 2023. Previously filed.</w:t>
              </w:r>
            </w:hyperlink>
          </w:p>
        </w:tc>
        <w:tc>
          <w:tcPr>
            <w:tcW w:w="7400" w:type="dxa"/>
            <w:vAlign w:val="bottom"/>
            <w:gridSpan w:val="3"/>
          </w:tcPr>
          <w:p>
            <w:pPr>
              <w:spacing w:after="0"/>
              <w:rPr>
                <w:sz w:val="17"/>
                <w:szCs w:val="17"/>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557"/>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60" w:type="dxa"/>
            <w:vAlign w:val="bottom"/>
            <w:gridSpan w:val="2"/>
          </w:tcPr>
          <w:p>
            <w:pPr>
              <w:ind w:left="4440"/>
              <w:spacing w:after="0"/>
              <w:rPr>
                <w:sz w:val="20"/>
                <w:szCs w:val="20"/>
                <w:color w:val="auto"/>
              </w:rPr>
            </w:pPr>
            <w:r>
              <w:rPr>
                <w:rFonts w:ascii="Times New Roman" w:cs="Times New Roman" w:eastAsia="Times New Roman" w:hAnsi="Times New Roman"/>
                <w:sz w:val="14"/>
                <w:szCs w:val="14"/>
                <w:color w:val="auto"/>
              </w:rPr>
              <w:t>2</w:t>
            </w: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
        </w:trPr>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99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AMERICAN ONCOLOGY NETWORK, INC.</w:t>
            </w:r>
          </w:p>
        </w:tc>
      </w:tr>
      <w:tr>
        <w:trPr>
          <w:trHeight w:val="43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26, 2024</w:t>
            </w: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Todd Schonherz</w:t>
            </w:r>
          </w:p>
        </w:tc>
      </w:tr>
      <w:tr>
        <w:trPr>
          <w:trHeight w:val="198"/>
        </w:trPr>
        <w:tc>
          <w:tcPr>
            <w:tcW w:w="3720" w:type="dxa"/>
            <w:vAlign w:val="bottom"/>
          </w:tcPr>
          <w:p>
            <w:pPr>
              <w:spacing w:after="0"/>
              <w:rPr>
                <w:sz w:val="17"/>
                <w:szCs w:val="17"/>
                <w:color w:val="auto"/>
              </w:rPr>
            </w:pPr>
          </w:p>
        </w:tc>
        <w:tc>
          <w:tcPr>
            <w:tcW w:w="2480" w:type="dxa"/>
            <w:vAlign w:val="bottom"/>
          </w:tcPr>
          <w:p>
            <w:pPr>
              <w:ind w:left="19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Todd Schonherz</w:t>
            </w:r>
          </w:p>
        </w:tc>
      </w:tr>
      <w:tr>
        <w:trPr>
          <w:trHeight w:val="234"/>
        </w:trPr>
        <w:tc>
          <w:tcPr>
            <w:tcW w:w="372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98"/>
        </w:trPr>
        <w:tc>
          <w:tcPr>
            <w:tcW w:w="3720" w:type="dxa"/>
            <w:vAlign w:val="bottom"/>
          </w:tcPr>
          <w:p>
            <w:pPr>
              <w:spacing w:after="0"/>
              <w:rPr>
                <w:sz w:val="24"/>
                <w:szCs w:val="24"/>
                <w:color w:val="auto"/>
              </w:rPr>
            </w:pPr>
          </w:p>
        </w:tc>
        <w:tc>
          <w:tcPr>
            <w:tcW w:w="2480" w:type="dxa"/>
            <w:vAlign w:val="bottom"/>
          </w:tcPr>
          <w:p>
            <w:pPr>
              <w:ind w:left="1860"/>
              <w:spacing w:after="0"/>
              <w:rPr>
                <w:sz w:val="20"/>
                <w:szCs w:val="20"/>
                <w:color w:val="auto"/>
              </w:rPr>
            </w:pPr>
            <w:r>
              <w:rPr>
                <w:rFonts w:ascii="Times New Roman" w:cs="Times New Roman" w:eastAsia="Times New Roman" w:hAnsi="Times New Roman"/>
                <w:sz w:val="14"/>
                <w:szCs w:val="14"/>
                <w:color w:val="auto"/>
              </w:rPr>
              <w:t>3</w:t>
            </w:r>
          </w:p>
        </w:tc>
        <w:tc>
          <w:tcPr>
            <w:tcW w:w="5040" w:type="dxa"/>
            <w:vAlign w:val="bottom"/>
          </w:tcPr>
          <w:p>
            <w:pPr>
              <w:spacing w:after="0"/>
              <w:rPr>
                <w:sz w:val="24"/>
                <w:szCs w:val="24"/>
                <w:color w:val="auto"/>
              </w:rPr>
            </w:pPr>
          </w:p>
        </w:tc>
      </w:tr>
      <w:tr>
        <w:trPr>
          <w:trHeight w:val="84"/>
        </w:trPr>
        <w:tc>
          <w:tcPr>
            <w:tcW w:w="372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504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Central Georgia Cancer Care, P.C.</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As of and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261620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266"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4680" w:type="dxa"/>
            <w:vAlign w:val="bottom"/>
            <w:gridSpan w:val="2"/>
          </w:tcPr>
          <w:p>
            <w:pPr>
              <w:ind w:left="4100"/>
              <w:spacing w:after="0"/>
              <w:rPr>
                <w:sz w:val="20"/>
                <w:szCs w:val="20"/>
                <w:color w:val="auto"/>
              </w:rPr>
            </w:pPr>
            <w:r>
              <w:rPr>
                <w:rFonts w:ascii="Times New Roman" w:cs="Times New Roman" w:eastAsia="Times New Roman" w:hAnsi="Times New Roman"/>
                <w:sz w:val="18"/>
                <w:szCs w:val="18"/>
                <w:b w:val="1"/>
                <w:bCs w:val="1"/>
                <w:color w:val="auto"/>
                <w:w w:val="99"/>
              </w:rPr>
              <w:t>Page(s)</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tc>
        <w:tc>
          <w:tcPr>
            <w:tcW w:w="4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w:t>
            </w:r>
          </w:p>
        </w:tc>
        <w:tc>
          <w:tcPr>
            <w:tcW w:w="4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Operations</w:t>
            </w:r>
          </w:p>
        </w:tc>
        <w:tc>
          <w:tcPr>
            <w:tcW w:w="4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Shareholders’ Equity</w:t>
            </w:r>
          </w:p>
        </w:tc>
        <w:tc>
          <w:tcPr>
            <w:tcW w:w="4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Cash Flows</w:t>
            </w:r>
          </w:p>
        </w:tc>
        <w:tc>
          <w:tcPr>
            <w:tcW w:w="4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4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65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jc w:val="right"/>
        <w:ind w:left="79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094355" cy="8655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3094355" cy="865505"/>
                    </a:xfrm>
                    <a:prstGeom prst="rect">
                      <a:avLst/>
                    </a:prstGeom>
                    <a:noFill/>
                  </pic:spPr>
                </pic:pic>
              </a:graphicData>
            </a:graphic>
          </wp:anchor>
        </w:drawing>
        <w:t>389 Mulberry Street | Macon, Georgia 31201 Post Office Box One | Macon, Georgia 31202 478-746-6277 | mmmcpa.com</w:t>
      </w:r>
    </w:p>
    <w:p>
      <w:pPr>
        <w:spacing w:after="0" w:line="176" w:lineRule="exact"/>
        <w:rPr>
          <w:sz w:val="20"/>
          <w:szCs w:val="20"/>
          <w:color w:val="auto"/>
        </w:rPr>
      </w:pPr>
    </w:p>
    <w:p>
      <w:pPr>
        <w:jc w:val="right"/>
        <w:ind w:left="8020"/>
        <w:spacing w:after="0" w:line="266" w:lineRule="auto"/>
        <w:rPr>
          <w:sz w:val="20"/>
          <w:szCs w:val="20"/>
          <w:color w:val="auto"/>
        </w:rPr>
      </w:pPr>
      <w:r>
        <w:rPr>
          <w:rFonts w:ascii="Times New Roman" w:cs="Times New Roman" w:eastAsia="Times New Roman" w:hAnsi="Times New Roman"/>
          <w:sz w:val="18"/>
          <w:szCs w:val="18"/>
          <w:color w:val="auto"/>
        </w:rPr>
        <w:t>916 Main Street | Perry, Georgia 31069 Post Office Box 1287 | Perry, Georgia 31069 478-987-0947 | mmmcpa.com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18, 2024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Georgia Cancer Care,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Macon, Georgia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We have audited the financial statements of </w:t>
      </w:r>
      <w:r>
        <w:rPr>
          <w:rFonts w:ascii="Times New Roman" w:cs="Times New Roman" w:eastAsia="Times New Roman" w:hAnsi="Times New Roman"/>
          <w:sz w:val="18"/>
          <w:szCs w:val="18"/>
          <w:b w:val="1"/>
          <w:bCs w:val="1"/>
          <w:color w:val="auto"/>
        </w:rPr>
        <w:t>Central Georgia Cancer Care, P.C.</w:t>
      </w:r>
      <w:r>
        <w:rPr>
          <w:rFonts w:ascii="Times New Roman" w:cs="Times New Roman" w:eastAsia="Times New Roman" w:hAnsi="Times New Roman"/>
          <w:sz w:val="18"/>
          <w:szCs w:val="18"/>
          <w:color w:val="auto"/>
        </w:rPr>
        <w:t xml:space="preserve"> (the Company), which comprise the balance sheet as of December 31, 2023, and the related statements of operations, shareholders’ equity and cash flows for the year then ended, and the related notes to the financial statements.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Central Georgia Cancer Care, P.C. as of December 31, 2023, and the results of its operations, changes in shareholders’ equity, and cash flows for the year then ended in accordance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 of Management for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Responsibilities for the Audit of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ind w:left="66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114300</wp:posOffset>
            </wp:positionV>
            <wp:extent cx="3223260"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223260" cy="24892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McNAIR, McLEMORE, MIDDLEBROOKS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Central Georgia Cancer Care, P.C.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Patient accounts receivable, net of allowance for credit losses of $620,426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Inventories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Prepaids expenses and other current assets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Investment in joint venture</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Accrued compensation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Accrued other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Distributions payable to shareholders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 (Note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0" w:hanging="395"/>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4,264,383</w:t>
      </w:r>
    </w:p>
    <w:p>
      <w:pPr>
        <w:spacing w:after="0" w:line="27"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8,152,414</w:t>
      </w:r>
    </w:p>
    <w:p>
      <w:pPr>
        <w:spacing w:after="0" w:line="9"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3,111,819</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911,826</w:t>
      </w:r>
    </w:p>
    <w:p>
      <w:pPr>
        <w:spacing w:after="0" w:line="2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115,718</w:t>
      </w:r>
    </w:p>
    <w:p>
      <w:pPr>
        <w:spacing w:after="0" w:line="2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16,556,160</w:t>
      </w:r>
    </w:p>
    <w:p>
      <w:pPr>
        <w:spacing w:after="0" w:line="22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518,711</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1,142,919</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334,502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300" w:hanging="295"/>
        <w:spacing w:after="0"/>
        <w:tabs>
          <w:tab w:leader="none" w:pos="300" w:val="left"/>
        </w:tabs>
        <w:numPr>
          <w:ilvl w:val="0"/>
          <w:numId w:val="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18,552,292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0" w:hanging="295"/>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11,059,556</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763,761</w:t>
      </w:r>
    </w:p>
    <w:p>
      <w:pPr>
        <w:spacing w:after="0" w:line="9"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53,800</w:t>
      </w:r>
    </w:p>
    <w:p>
      <w:pPr>
        <w:spacing w:after="0" w:line="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682,120</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4,457,945</w:t>
      </w:r>
    </w:p>
    <w:p>
      <w:pPr>
        <w:spacing w:after="0" w:line="1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17,017,182</w:t>
      </w:r>
    </w:p>
    <w:p>
      <w:pPr>
        <w:spacing w:after="0" w:line="22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505,375</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49,816</w:t>
      </w:r>
    </w:p>
    <w:p>
      <w:pPr>
        <w:spacing w:after="0" w:line="1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17,572,373</w:t>
      </w:r>
    </w:p>
    <w:p>
      <w:pPr>
        <w:spacing w:after="0" w:line="506" w:lineRule="exact"/>
        <w:rPr>
          <w:sz w:val="20"/>
          <w:szCs w:val="20"/>
          <w:color w:val="auto"/>
        </w:rPr>
      </w:pPr>
    </w:p>
    <w:p>
      <w:pPr>
        <w:sectPr>
          <w:pgSz w:w="11900" w:h="16838" w:orient="portrait"/>
          <w:cols w:equalWidth="0" w:num="2">
            <w:col w:w="9300" w:space="720"/>
            <w:col w:w="1220"/>
          </w:cols>
          <w:pgMar w:left="320" w:top="117"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10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$.01 par value, 1,000 shares authorized, 300 shares issued and outstanding at December 31, 2023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80,000</w:t>
            </w:r>
          </w:p>
        </w:tc>
      </w:tr>
      <w:tr>
        <w:trPr>
          <w:trHeight w:val="223"/>
        </w:trPr>
        <w:tc>
          <w:tcPr>
            <w:tcW w:w="10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979,919</w:t>
            </w:r>
          </w:p>
        </w:tc>
        <w:tc>
          <w:tcPr>
            <w:tcW w:w="100" w:type="dxa"/>
            <w:vAlign w:val="bottom"/>
          </w:tcPr>
          <w:p>
            <w:pPr>
              <w:spacing w:after="0"/>
              <w:rPr>
                <w:sz w:val="19"/>
                <w:szCs w:val="19"/>
                <w:color w:val="auto"/>
              </w:rPr>
            </w:pPr>
          </w:p>
        </w:tc>
      </w:tr>
      <w:tr>
        <w:trPr>
          <w:trHeight w:val="223"/>
        </w:trPr>
        <w:tc>
          <w:tcPr>
            <w:tcW w:w="10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18,552,292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Central Georgia Cancer Care, P.C.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Patient service revenue,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102,648,553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16,964</w:t>
            </w:r>
          </w:p>
        </w:tc>
        <w:tc>
          <w:tcPr>
            <w:tcW w:w="80" w:type="dxa"/>
            <w:vAlign w:val="bottom"/>
          </w:tcPr>
          <w:p>
            <w:pPr>
              <w:spacing w:after="0"/>
              <w:rPr>
                <w:sz w:val="19"/>
                <w:szCs w:val="19"/>
                <w:color w:val="auto"/>
              </w:rPr>
            </w:pPr>
          </w:p>
        </w:tc>
      </w:tr>
      <w:tr>
        <w:trPr>
          <w:trHeight w:val="223"/>
        </w:trPr>
        <w:tc>
          <w:tcPr>
            <w:tcW w:w="10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102,665,517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 (exclusive of depreciation shown separately below)</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97,632,525</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5,712,977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0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103,505,730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(840,213)</w:t>
            </w:r>
          </w:p>
        </w:tc>
      </w:tr>
      <w:tr>
        <w:trPr>
          <w:trHeight w:val="216"/>
        </w:trPr>
        <w:tc>
          <w:tcPr>
            <w:tcW w:w="10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(2,916)</w:t>
            </w: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39,061</w:t>
            </w:r>
          </w:p>
        </w:tc>
        <w:tc>
          <w:tcPr>
            <w:tcW w:w="80" w:type="dxa"/>
            <w:vAlign w:val="bottom"/>
          </w:tcPr>
          <w:p>
            <w:pPr>
              <w:spacing w:after="0"/>
              <w:rPr>
                <w:sz w:val="19"/>
                <w:szCs w:val="19"/>
                <w:color w:val="auto"/>
              </w:rPr>
            </w:pPr>
          </w:p>
        </w:tc>
      </w:tr>
      <w:tr>
        <w:trPr>
          <w:trHeight w:val="216"/>
        </w:trPr>
        <w:tc>
          <w:tcPr>
            <w:tcW w:w="10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taxes and equity in earnings from joint venture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(804,068)</w:t>
            </w:r>
          </w:p>
        </w:tc>
        <w:tc>
          <w:tcPr>
            <w:tcW w:w="8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equity in earnings from joint venture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(1,106,621)</w:t>
            </w:r>
          </w:p>
        </w:tc>
        <w:tc>
          <w:tcPr>
            <w:tcW w:w="100" w:type="dxa"/>
            <w:vAlign w:val="bottom"/>
            <w:gridSpan w:val="2"/>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from joint venture</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72,053</w:t>
            </w:r>
          </w:p>
        </w:tc>
        <w:tc>
          <w:tcPr>
            <w:tcW w:w="80" w:type="dxa"/>
            <w:vAlign w:val="bottom"/>
          </w:tcPr>
          <w:p>
            <w:pPr>
              <w:spacing w:after="0"/>
              <w:rPr>
                <w:sz w:val="19"/>
                <w:szCs w:val="19"/>
                <w:color w:val="auto"/>
              </w:rPr>
            </w:pPr>
          </w:p>
        </w:tc>
      </w:tr>
      <w:tr>
        <w:trPr>
          <w:trHeight w:val="223"/>
        </w:trPr>
        <w:tc>
          <w:tcPr>
            <w:tcW w:w="10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(1,034,568</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Central Georgia Cancer Care, P.C.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8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880" w:type="dxa"/>
            <w:vAlign w:val="bottom"/>
            <w:tcBorders>
              <w:bottom w:val="single" w:sz="8" w:color="auto"/>
            </w:tcBorders>
            <w:gridSpan w:val="4"/>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5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6,884,408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6,964,411</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Adoption of ASU 2016-13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(491,979)</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(491,979)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(1,034,568)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(1,034,568)</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shareholders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(4,457,945)</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(4,457,945)</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899,916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Central Georgia Cancer Care, P.C.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(1,034,568)</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160,228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844,817</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from joint venture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(72,053)</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received from equity method investments</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128,447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Patient accounts receivable, net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(1,083,540)</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(513,187)</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188,387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77,564</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6,739,481</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related costs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481,485</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other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(842,914)</w:t>
            </w:r>
          </w:p>
        </w:tc>
      </w:tr>
      <w:tr>
        <w:trPr>
          <w:trHeight w:val="223"/>
        </w:trPr>
        <w:tc>
          <w:tcPr>
            <w:tcW w:w="10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5,151,835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(126,300)</w:t>
            </w:r>
          </w:p>
        </w:tc>
      </w:tr>
      <w:tr>
        <w:trPr>
          <w:trHeight w:val="27"/>
        </w:trPr>
        <w:tc>
          <w:tcPr>
            <w:tcW w:w="100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(126,300)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(25,054)</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shareholders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(5,298,797)</w:t>
            </w:r>
          </w:p>
        </w:tc>
      </w:tr>
      <w:tr>
        <w:trPr>
          <w:trHeight w:val="27"/>
        </w:trPr>
        <w:tc>
          <w:tcPr>
            <w:tcW w:w="100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(5,323,851)</w:t>
            </w:r>
          </w:p>
        </w:tc>
      </w:tr>
      <w:tr>
        <w:trPr>
          <w:trHeight w:val="216"/>
        </w:trPr>
        <w:tc>
          <w:tcPr>
            <w:tcW w:w="10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(298,316)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beginning of year</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4,562,699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end of year</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4,264,383</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302,553</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Accrued shareholder distributions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4,457,945</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 derecognized upon early lease termination</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15,779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Central Georgia Cancer Care, P.C.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p>
      <w:pPr>
        <w:ind w:left="520" w:right="7000" w:hanging="512"/>
        <w:spacing w:after="0" w:line="503" w:lineRule="auto"/>
        <w:tabs>
          <w:tab w:leader="none" w:pos="51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Organization and Basis of Presentation Business</w:t>
      </w: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Central Georgia Cancer Care, P.C. (“CGCC”, or the “Company”) was originally incorporated under the Georgia Business Corporation Code on April 17, 2000 as a professional corporation as Macon Hematology &amp; Oncology Associates, P.C. The Company changed its name to Central Georgia Hematology &amp; Oncology Associates, P.C., effective May 11, 2000 and changed to its current name effective October 6, 2005. The Company provides treatment options to patients for cancer and blood disorders from its two practice locations in Macon, Georgia and Warner Robins, Georgia.</w:t>
      </w:r>
    </w:p>
    <w:p>
      <w:pPr>
        <w:spacing w:after="0" w:line="17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ind w:lef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w:t>
      </w:r>
    </w:p>
    <w:p>
      <w:pPr>
        <w:spacing w:after="0" w:line="157" w:lineRule="exact"/>
        <w:rPr>
          <w:rFonts w:ascii="Times New Roman" w:cs="Times New Roman" w:eastAsia="Times New Roman" w:hAnsi="Times New Roman"/>
          <w:sz w:val="18"/>
          <w:szCs w:val="18"/>
          <w:b w:val="1"/>
          <w:bCs w:val="1"/>
          <w:color w:val="auto"/>
        </w:rPr>
      </w:pPr>
    </w:p>
    <w:p>
      <w:pPr>
        <w:ind w:left="520" w:right="7340" w:hanging="512"/>
        <w:spacing w:after="0" w:line="503" w:lineRule="auto"/>
        <w:tabs>
          <w:tab w:leader="none" w:pos="51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Accounting Estimates and Assumptions</w:t>
      </w: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Actual results could differ from those estimates.</w:t>
      </w:r>
    </w:p>
    <w:p>
      <w:pPr>
        <w:spacing w:after="0" w:line="17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Comprehensive Income</w:t>
      </w:r>
    </w:p>
    <w:p>
      <w:pPr>
        <w:spacing w:after="0" w:line="229" w:lineRule="exact"/>
        <w:rPr>
          <w:rFonts w:ascii="Times New Roman" w:cs="Times New Roman" w:eastAsia="Times New Roman" w:hAnsi="Times New Roman"/>
          <w:sz w:val="18"/>
          <w:szCs w:val="18"/>
          <w:b w:val="1"/>
          <w:bCs w:val="1"/>
          <w:color w:val="auto"/>
        </w:rPr>
      </w:pPr>
    </w:p>
    <w:p>
      <w:pPr>
        <w:ind w:lef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separate statement of comprehensive income is required, however, as net income is the only component of comprehensive income, the Company elected not to include a separate statement of comprehensive income because it would not be meaningful to the users of the financial statements.</w:t>
      </w:r>
    </w:p>
    <w:p>
      <w:pPr>
        <w:spacing w:after="0" w:line="15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rFonts w:ascii="Times New Roman" w:cs="Times New Roman" w:eastAsia="Times New Roman" w:hAnsi="Times New Roman"/>
          <w:sz w:val="18"/>
          <w:szCs w:val="18"/>
          <w:b w:val="1"/>
          <w:bCs w:val="1"/>
          <w:color w:val="auto"/>
        </w:rPr>
      </w:pPr>
    </w:p>
    <w:p>
      <w:pPr>
        <w:jc w:val="both"/>
        <w:ind w:left="5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Revenue is recognized under Accounting Standards Update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The Company determines the transaction price based upon standard charges for goods and services with anticipated consideration due from patients, third-party payors (including health insurers and government agencies) and others. The Company’s revenue is primarily derived from patient service revenues, which encompass oncology services and infused drugs provided during patient visits and the dispensing of pharmacy prescriptions. Performance obligations for the Company’s services provided to patients and most procedures, are satisfied over the time of visit which is the same day services are performed. Performance obligations relating to pharmacy revenue are considered fully satisfied at a point in time upon the customer taking possession of the prescription. Accordingly, the Company does not anticipate a significant amount of revenue from performance obligations satisfied (or partially satisfied) in previous periods, and any such revenue recognized during the year ended December 31, 2023 was immaterial. Additionally, the Company does not anticipate a significant amount of revenue from performance obligations satisfied (or partially satisfied) as of December 31, 2023. Approximately $71,900,000 of the Company’s patient service revenues are generated from services performed during patient visits with the remainder primarily generated from the dispensing of pharmacy prescriptions for the year ended December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Central Georgia Cancer Care, P.C.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3"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As patient services are performed and prescriptions are dispensed, timely billing occurs for services rendered and prescriptions dispensed less discounts provided to uninsured patients and contractual adjustments to third-party payors based upon prospectively determined rates and discounted charges. Payment is requested at the time of service for self-paying patients and for patients covered by third-party payors that are responsible for paying deductibles and coinsurance.</w:t>
      </w:r>
    </w:p>
    <w:p>
      <w:pPr>
        <w:spacing w:after="0" w:line="180"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 monitors revenue and receivables to prepare estimated contractual allowances for the anticipated differences between billed and reimbursed amounts. Payments from third-party payors and Government programs including Medicare and Medicaid may be subject to audit and other retrospective adjustments. Such amounts are considered on an estimated basis when net patient revenue is recorded and are adjusted as final adjustments are determined. For the year ended December 31, 2023, such resulting historic adjustments have been immaterial to the financial statements.</w:t>
      </w:r>
    </w:p>
    <w:p>
      <w:pPr>
        <w:spacing w:after="0" w:line="183"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In assessing who is the principal in providing patient services and pharmacy prescriptions, the Company considers who controls the provision of services and prescriptions. The Company has determined they are acting as a principal in these relationships as the Company controls the goods or services prior to them being transferred to the ultimate customer.</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Cost of services primarily includes chemotherapy drug costs, clinician salaries and benefits, and medical supplies. Clinicians include oncologists, advanced practice providers such as physician assistants and nurse practitioners, registered nurses and pharmacy and lab personnel and other outside services..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Cash and cash equivalents include cash or deposits with financial institutions and deposits in highly liquid money market securities. Deposits with financial institutions are insured by the Federal Deposit Insurance Corporation up to certain defined limits. Bank deposits at times may exceed federally insured limits. The Company has not experienced any losses in these accounts.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Patient Accounts Receivable, net</w:t>
      </w:r>
    </w:p>
    <w:p>
      <w:pPr>
        <w:spacing w:after="0" w:line="229"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Patient accounts receivable consist of amounts due from third-party payors, including Medicare, Medicaid, managed care providers and commercial providers along with self-pay customers which includes the patient responsibility portion for patients with insurance. Patient accounts receivable are carried at the amount of consideration the Company expects to collect based on the historical collection rate which takes into consideration any allowance for credit losses. The Company utilizes a historical loss rate method, adjusted for any changes in economic conditions or risk characteristics, to estimate its expected credit losses each period. When developing an estimate of expected credit losses, the Company considers all available relevant information regarding the collectability of cash flows, including historical information, current conditions, and reasonable and supportable forecasts of future economic conditions over the contractual life of the receivable. The historical loss rate method considers past write-offs of trade accounts receivable over a period commensurate with the initial term of the Company’s contracts with its customers. The Company recognizes the allowance for credit losses at inception and reassesses periodically based on management’s expectation of the asset’s collectability. The Company’s patient accounts receivable are short-term in nature and written off only when all collection attempts have failed. The Company recorded $620,426 as an allowance for credit losses as of December 31, 2023 which represents an increase of $128,447 from the balance at adoption of CECL due to additional provisions for credit losses in 2023.</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Central Georgia Cancer Care, P.C.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3"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Concentrations of patient accounts receivable, net of allowances for contractual discounts and credit losses, as of December 31, 2023, are as follows:</w:t>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Medicare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Medicaid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BCBS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United Healthcare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94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patients accounts receivable, net balance was $7,197,321 as of January 1, 2023 and $8,152,414 as of December 31, 2023.</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Inventories, consisting primarily of pharmaceuticals finished goods, are valued at the lower of cost or net realizable value, with cost being determined on a first-in, first-out basis. Obsolescence for inventories is estimated based on expiration dates and slow-moving inventory. No obsolescence allowances have been recorded as of December 31, 2023. If the Company determines that an item is obsolete, or the expected net realizable value upon sale is lower than the currently recorded cost, a write-down is recorded and charged to cost of revenue to reduce the inventory to its net realizable value and a new cost basis is established.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 Receivables</w:t>
      </w:r>
    </w:p>
    <w:p>
      <w:pPr>
        <w:spacing w:after="0" w:line="22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Other receivables consist primarily of rebates on drug purchases made in the current period which are offered as an incentive by the distributor and/or manufacturer and are not yet paid as of year-end.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using the straight-line method over the estimated useful lives of the assets. A summary of the lives used for computing depreciation is as follows: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19685</wp:posOffset>
            </wp:positionV>
            <wp:extent cx="682371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823710" cy="17145"/>
                    </a:xfrm>
                    <a:prstGeom prst="rect">
                      <a:avLst/>
                    </a:prstGeom>
                    <a:noFill/>
                  </pic:spPr>
                </pic:pic>
              </a:graphicData>
            </a:graphic>
          </wp:anchor>
        </w:drawing>
      </w:r>
    </w:p>
    <w:p>
      <w:pPr>
        <w:spacing w:after="0" w:line="254"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72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7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672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7 years</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Medical equipment</w:t>
            </w:r>
          </w:p>
        </w:tc>
        <w:tc>
          <w:tcPr>
            <w:tcW w:w="67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79"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Maintenance and repairs that do not improve service potential or extend economic life are expensed as incurred. Expenditures for major improvements and additions are capitalized. Long-lived assets to be held and used are reviewed for impairment whenever events or changes in circumstances indicate that the carrying amount of an asset group may not be recoverable. In assessing long-lived assets for impairment, assets are grouped with other assets and liabilities at the lowest level for which identifiable cash flows are largely independent of the cash flows of other assets and liabilities. Recoverability is measured by a comparison of the carrying amount of an asset group to the undiscounted future net cash flows expected to be generated by the asset group. If estimated future undiscounted cash flows are not sufficient to recover the carrying value of the assets, impairment is measured by comparing the carrying amount of the assets to the estimated fair value, obtained through appraisal or market quotations, or discounted future net cash flow estimates. The Company did not recognize any long-lived asset impairments during 2023.</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Central Georgia Cancer Care, P.C.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The Company’s lease portfolio primarily consists of office and equipment leases for its practice facilities. The Company determines if an arrangement is a lease at inception. Right-of-use assets represent the right to use the underlying assets for the lease term, and the lease liabilities represent the obligation to make lease payments arising from the leases. Right-of-use assets and liabilities are recognized at commencement date based on the present value of future lease payments over the lease term, which includes only payments that are fixed and determinable at the time of commencement. As the Company’s operating leases do not generally provide an implicit rate, the incremental borrowing rate is used based on the information available at commencement date in determining the present value of lease payments. The incremental borrowing rate for a lease is the rate of interest the Company would have to pay on a collateralized basis to borrow an amount equal to the lease payments under similar terms. Lease payments included in the measurement of the operating lease right-of-use (“ROU”) assets and lease liabilities are comprised of fixed payments, variable payments that depend on an index or rate, and the exercise price of a lessee option to purchase the underlying asset if the lessee is reasonably certain to exercise. Finance leases are included in property and equipment on the Balance Sheet.</w:t>
      </w:r>
    </w:p>
    <w:p>
      <w:pPr>
        <w:spacing w:after="0" w:line="194"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Company elected not to recognize operating lease ROU assets and lease liabilities for all short-term leases (leases with an initial lease term of 12 months or less). The Company recognizes the lease payments associated with short-term leases as an expense over the lease term. Certain of the lease arrangements contain lease and non-lease components and the Company has elected the practical expedient to combine these components.</w:t>
      </w:r>
    </w:p>
    <w:p>
      <w:pPr>
        <w:spacing w:after="0" w:line="176"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operating lease ROU assets are initially measured at cost, which comprises the initial amount of the lease liability adjusted for lease payments made at or before the lease commencement date, plus any initial direct costs incurred less any lease incentives received. The operating lease ROU assets are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 The operating lease liabilities are initially measured at the present value of the unpaid lease payments at the lease commencement date.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 with shareholders’ consent, has elected to be taxed as an “S Corporation” under the provisions of the Internal Revenue Code and comparable state income tax law. As an “S Corporation” the Company is generally not subject to corporate income taxes and the Company’s net income or loss is reported on the individual tax return of the shareholder of the Company. The Company and its shareholders have agreed that the Company will provide for and pay any state income taxes as they arise on behalf of the shareholders. As such, the provision for income taxes included in the Statement of Operations represents only state income taxes.</w:t>
      </w:r>
    </w:p>
    <w:p>
      <w:pPr>
        <w:spacing w:after="0" w:line="183"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Accounting for uncertainty in income taxes prescribes a recognition threshold and measurement attribute for the financial statement recognition and measurement of a tax position taken, or expected to be taken, in a tax return. Management has evaluated its tax positions and has concluded that the Company has taken no uncertain tax positions that could require adjustment or disclosure in the financial statements to comply with provisions set forth in Accounting Standards Codification (“ASC”) Topic 740, Income Taxes. The Company files income tax returns in the U.S. and the state of Georgia. The Company is no longer subject to U.S. federal, state, and local income tax examinations by tax authorities for years before 2021.</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Central Georgia Cancer Care, P.C.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costs for the year ended December 31, 2023 were $136,121. All advertising costs are included within general and administrative expenses in the Statement of Operations.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Investment in Joint Venture</w:t>
      </w:r>
    </w:p>
    <w:p>
      <w:pPr>
        <w:spacing w:after="0" w:line="22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Company uses the equity method of accounting to record transactions associated with its joint venture when the Company shares in joint control of the investee. Investment in joint venture is not consolidated but is recorded in investment in joint venture in the Company’s Balance Sheet. The Company recognizes its portion of the investee’s results in equity in earnings from joint venture in its Statement of Operations.</w:t>
      </w:r>
    </w:p>
    <w:p>
      <w:pPr>
        <w:spacing w:after="0" w:line="176"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Company evaluates all distributions received from its equity method investments using the nature of distribution approach. Under this approach, the Company evaluates the nature of activities of the investee that generated the distribution. The distributions received are either classified as a return on investment, which is presented as a component of operating activities on the Company’s Statement of Cash Flows, or as a return of investment, which is presented as a component of investing activities on the Company’s Statement of Cash Flows.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left="520" w:right="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accounts receivable. Although certain cash accounts exceed the federally insured deposit amount, management has not previously experienced nonperformance by any financial institution.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the principal or most advantageous market in an orderly transaction between market participants on the measurement date. The carrying values of cash and cash equivalents, receivables, accounts payable and other current liabilities approximate fair value due to their short-term nature.</w:t>
      </w:r>
    </w:p>
    <w:p>
      <w:pPr>
        <w:spacing w:after="0" w:line="176"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Accounting guidance establishes a three-level hierarchy, which requires an entity to maximize the use of observable inputs and minimize the use of unobservable inputs when measuring fair value. The valuation hierarchy is based upon the transparency of inputs to the valuation of an asset or liability on the measurement date. The three levels are defined as follows:</w:t>
      </w:r>
    </w:p>
    <w:p>
      <w:pPr>
        <w:spacing w:after="0" w:line="176" w:lineRule="exact"/>
        <w:rPr>
          <w:sz w:val="20"/>
          <w:szCs w:val="20"/>
          <w:color w:val="auto"/>
        </w:rPr>
      </w:pPr>
    </w:p>
    <w:p>
      <w:pPr>
        <w:ind w:left="500"/>
        <w:spacing w:after="0"/>
        <w:tabs>
          <w:tab w:leader="none" w:pos="12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Inputs to the valuation methodology are quoted prices (unadjusted) for an identical asset or liability in an active market.</w:t>
      </w:r>
    </w:p>
    <w:p>
      <w:pPr>
        <w:spacing w:after="0" w:line="225" w:lineRule="exact"/>
        <w:rPr>
          <w:sz w:val="20"/>
          <w:szCs w:val="20"/>
          <w:color w:val="auto"/>
        </w:rPr>
      </w:pPr>
    </w:p>
    <w:p>
      <w:pPr>
        <w:ind w:left="1260" w:right="20" w:hanging="768"/>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Level 2</w:t>
        <w:tab/>
        <w:t>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162" w:lineRule="exact"/>
        <w:rPr>
          <w:sz w:val="20"/>
          <w:szCs w:val="20"/>
          <w:color w:val="auto"/>
        </w:rPr>
      </w:pPr>
    </w:p>
    <w:p>
      <w:pPr>
        <w:ind w:left="500"/>
        <w:spacing w:after="0"/>
        <w:tabs>
          <w:tab w:leader="none" w:pos="12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Inputs to the valuation methodology are unobservable and significant to the fair value measurement of the asset or liability.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there were no Level 3 financial instruments.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Central Georgia Cancer Care, P.C.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(“ASU 2016- 13”). ASU 2016-13 requires entities to report ‘‘expected’’ credit losses on financial instruments and other commitments to extend credit rather than the current ‘‘incurred loss’’ model. These expected credit losses for financial assets held at the reporting date are to be based on historical experience, current conditions, and reasonable and supportable forecasts. This ASU requires enhanced disclosures relating to significant estimates and judgments used in estimating credit losses, as well as the credit quality. ASU 2016-13 is effective for the Company for annual reporting periods beginning after December 15, 2022. The Company adopted ASU 2016-13 effective January 1, 2023 using the modified retrospective approach and revised its accounting policies and processes to facilitate this approach. The impact of the adoption was to reduce beginning retained earnings by $491,979.</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There were no recently issued accounting pronouncements during the year ended December 31, 2023 which materially impacted the Company’s financial reporting and disclosures.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9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at December 31, 2023:</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539,043</w:t>
            </w:r>
          </w:p>
        </w:tc>
        <w:tc>
          <w:tcPr>
            <w:tcW w:w="80" w:type="dxa"/>
            <w:vAlign w:val="bottom"/>
            <w:shd w:val="clear" w:color="auto" w:fill="CCEEFF"/>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420,113</w:t>
            </w:r>
          </w:p>
        </w:tc>
        <w:tc>
          <w:tcPr>
            <w:tcW w:w="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403,953</w:t>
            </w:r>
          </w:p>
        </w:tc>
        <w:tc>
          <w:tcPr>
            <w:tcW w:w="80" w:type="dxa"/>
            <w:vAlign w:val="bottom"/>
            <w:shd w:val="clear" w:color="auto" w:fill="CCEEFF"/>
          </w:tcPr>
          <w:p>
            <w:pPr>
              <w:spacing w:after="0"/>
              <w:rPr>
                <w:sz w:val="18"/>
                <w:szCs w:val="18"/>
                <w:color w:val="auto"/>
              </w:rPr>
            </w:pPr>
          </w:p>
        </w:tc>
      </w:tr>
      <w:tr>
        <w:trPr>
          <w:trHeight w:val="223"/>
        </w:trPr>
        <w:tc>
          <w:tcPr>
            <w:tcW w:w="5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Medical equipment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38,932</w:t>
            </w:r>
          </w:p>
        </w:tc>
        <w:tc>
          <w:tcPr>
            <w:tcW w:w="80" w:type="dxa"/>
            <w:vAlign w:val="bottom"/>
          </w:tcPr>
          <w:p>
            <w:pPr>
              <w:spacing w:after="0"/>
              <w:rPr>
                <w:sz w:val="19"/>
                <w:szCs w:val="19"/>
                <w:color w:val="auto"/>
              </w:rPr>
            </w:pPr>
          </w:p>
        </w:tc>
      </w:tr>
      <w:tr>
        <w:trPr>
          <w:trHeight w:val="216"/>
        </w:trPr>
        <w:tc>
          <w:tcPr>
            <w:tcW w:w="520" w:type="dxa"/>
            <w:vAlign w:val="bottom"/>
          </w:tcPr>
          <w:p>
            <w:pPr>
              <w:spacing w:after="0"/>
              <w:rPr>
                <w:sz w:val="18"/>
                <w:szCs w:val="18"/>
                <w:color w:val="auto"/>
              </w:rPr>
            </w:pPr>
          </w:p>
        </w:tc>
        <w:tc>
          <w:tcPr>
            <w:tcW w:w="9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1,402,041</w:t>
            </w:r>
          </w:p>
        </w:tc>
        <w:tc>
          <w:tcPr>
            <w:tcW w:w="80" w:type="dxa"/>
            <w:vAlign w:val="bottom"/>
            <w:shd w:val="clear" w:color="auto" w:fill="CCEEFF"/>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520" w:type="dxa"/>
            <w:vAlign w:val="bottom"/>
          </w:tcPr>
          <w:p>
            <w:pPr>
              <w:spacing w:after="0"/>
              <w:rPr>
                <w:sz w:val="19"/>
                <w:szCs w:val="19"/>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(883,330)</w:t>
            </w:r>
          </w:p>
        </w:tc>
      </w:tr>
      <w:tr>
        <w:trPr>
          <w:trHeight w:val="223"/>
        </w:trPr>
        <w:tc>
          <w:tcPr>
            <w:tcW w:w="520" w:type="dxa"/>
            <w:vAlign w:val="bottom"/>
          </w:tcPr>
          <w:p>
            <w:pPr>
              <w:spacing w:after="0"/>
              <w:rPr>
                <w:sz w:val="19"/>
                <w:szCs w:val="19"/>
                <w:color w:val="auto"/>
              </w:rPr>
            </w:pPr>
          </w:p>
        </w:tc>
        <w:tc>
          <w:tcPr>
            <w:tcW w:w="954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518,711</w:t>
            </w:r>
          </w:p>
        </w:tc>
        <w:tc>
          <w:tcPr>
            <w:tcW w:w="80" w:type="dxa"/>
            <w:vAlign w:val="bottom"/>
            <w:tcBorders>
              <w:top w:val="single" w:sz="8" w:color="CCEEFF"/>
            </w:tcBorders>
          </w:tcPr>
          <w:p>
            <w:pPr>
              <w:spacing w:after="0"/>
              <w:rPr>
                <w:sz w:val="19"/>
                <w:szCs w:val="19"/>
                <w:color w:val="auto"/>
              </w:rPr>
            </w:pPr>
          </w:p>
        </w:tc>
      </w:tr>
    </w:tbl>
    <w:p>
      <w:pPr>
        <w:spacing w:after="0" w:line="198"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depreciation expense was $160,228, and is included as a separate line within costs and expenses in the Statement of Operations.</w:t>
      </w:r>
    </w:p>
    <w:p>
      <w:pPr>
        <w:spacing w:after="0" w:line="158"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w:t>
      </w:r>
    </w:p>
    <w:p>
      <w:pPr>
        <w:spacing w:after="0" w:line="229" w:lineRule="exact"/>
        <w:rPr>
          <w:sz w:val="20"/>
          <w:szCs w:val="20"/>
          <w:color w:val="auto"/>
        </w:rPr>
      </w:pPr>
    </w:p>
    <w:p>
      <w:pPr>
        <w:jc w:val="both"/>
        <w:ind w:left="500" w:right="20"/>
        <w:spacing w:after="0" w:line="266" w:lineRule="auto"/>
        <w:rPr>
          <w:sz w:val="20"/>
          <w:szCs w:val="20"/>
          <w:color w:val="auto"/>
        </w:rPr>
      </w:pPr>
      <w:r>
        <w:rPr>
          <w:rFonts w:ascii="Times New Roman" w:cs="Times New Roman" w:eastAsia="Times New Roman" w:hAnsi="Times New Roman"/>
          <w:sz w:val="18"/>
          <w:szCs w:val="18"/>
          <w:color w:val="auto"/>
        </w:rPr>
        <w:t>The Company has a revolving line of credit with a bank in the amount of $1,520,000 which provides for borrowings at the bank’s prime rate. There were no borrowings during 2023 on the line of credit and no balance was outstanding at December 31, 2023. The line of credit expires on November 15, 2024 and is secured by substantially all assets of the Company.</w:t>
      </w:r>
    </w:p>
    <w:p>
      <w:pPr>
        <w:spacing w:after="0" w:line="172"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Joint Venture</w:t>
      </w:r>
    </w:p>
    <w:p>
      <w:pPr>
        <w:spacing w:after="0" w:line="229"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On June 22, 2010, the Company entered into an Operating Agreement (the “Joint Venture Agreement”) with Radiology Associates of Macon, P.C. to invest in a CT (“Computed Tomography”) scanner. Each company has a 50/50 equity interest in RAM-CGCC, LLC (“RAM-CGCC”), which was specifically formed to operate and execute the joint venture.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Central Georgia Cancer Care, P.C.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3"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RAM-CGCC meets the accounting definition of a joint venture where neither party has control of the joint venture entity and both parties have joint control over the decision-making process in RAM-CGCC. As such, the Company uses the equity method of accounting to account for its share of the investment in RAM-CGCC. The Company’s share of earnings in RAM-CGCC for the year ended December 31, 2023 was $72,053 and is included in equity in earnings from joint venture on the Statement of Operations.</w:t>
      </w:r>
    </w:p>
    <w:p>
      <w:pPr>
        <w:spacing w:after="0" w:line="180"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In January 2016, the Company entered into lease agreements for its two locations with RAM-CGCC to lease equipment and location space. The initial term was for twelve months and automatically renews annually unless either party provides 90 days written notice. Total rent expense under the lease agreement for the year ended December 31, 2023 was $278,664 and is included in cost of revenue in the Statement of Operations.</w:t>
      </w:r>
    </w:p>
    <w:p>
      <w:pPr>
        <w:spacing w:after="0" w:line="172"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jc w:val="both"/>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currently leases office facilities and equipment for its practices under noncancelable operating and finance lease agreements expiring on various dates through 2028. Certain of the leases contain renewal options which are exercisable at the Company’s discretion. These renewal options are considered in determining the lease term if it is reasonably certain that the Company will exercise such options. Additionally, the Company leases certain other office and medical equipment under month-to-month lease agreements.</w:t>
      </w:r>
    </w:p>
    <w:p>
      <w:pPr>
        <w:spacing w:after="0" w:line="17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Right-of-use assets and lease liabilities consist of the following at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1,142,919</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 net (included in property and equipment, net)</w:t>
            </w: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71,893</w:t>
            </w:r>
          </w:p>
        </w:tc>
        <w:tc>
          <w:tcPr>
            <w:tcW w:w="2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9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right-of-use assets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1,214,812</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9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682,120</w:t>
            </w:r>
          </w:p>
        </w:tc>
        <w:tc>
          <w:tcPr>
            <w:tcW w:w="20" w:type="dxa"/>
            <w:vAlign w:val="bottom"/>
          </w:tcPr>
          <w:p>
            <w:pPr>
              <w:spacing w:after="0"/>
              <w:rPr>
                <w:sz w:val="18"/>
                <w:szCs w:val="18"/>
                <w:color w:val="auto"/>
              </w:rPr>
            </w:pPr>
          </w:p>
        </w:tc>
      </w:tr>
      <w:tr>
        <w:trPr>
          <w:trHeight w:val="223"/>
        </w:trPr>
        <w:tc>
          <w:tcPr>
            <w:tcW w:w="520" w:type="dxa"/>
            <w:vAlign w:val="bottom"/>
          </w:tcPr>
          <w:p>
            <w:pPr>
              <w:spacing w:after="0"/>
              <w:rPr>
                <w:sz w:val="19"/>
                <w:szCs w:val="19"/>
                <w:color w:val="auto"/>
              </w:rPr>
            </w:pPr>
          </w:p>
        </w:tc>
        <w:tc>
          <w:tcPr>
            <w:tcW w:w="9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finance lease liabilities (included in accrued other)</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22,595</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704,715</w:t>
            </w: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9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505,375</w:t>
            </w:r>
          </w:p>
        </w:tc>
        <w:tc>
          <w:tcPr>
            <w:tcW w:w="20" w:type="dxa"/>
            <w:vAlign w:val="bottom"/>
          </w:tcPr>
          <w:p>
            <w:pPr>
              <w:spacing w:after="0"/>
              <w:rPr>
                <w:sz w:val="18"/>
                <w:szCs w:val="18"/>
                <w:color w:val="auto"/>
              </w:rPr>
            </w:pPr>
          </w:p>
        </w:tc>
      </w:tr>
      <w:tr>
        <w:trPr>
          <w:trHeight w:val="223"/>
        </w:trPr>
        <w:tc>
          <w:tcPr>
            <w:tcW w:w="520" w:type="dxa"/>
            <w:vAlign w:val="bottom"/>
          </w:tcPr>
          <w:p>
            <w:pPr>
              <w:spacing w:after="0"/>
              <w:rPr>
                <w:sz w:val="19"/>
                <w:szCs w:val="19"/>
                <w:color w:val="auto"/>
              </w:rPr>
            </w:pPr>
          </w:p>
        </w:tc>
        <w:tc>
          <w:tcPr>
            <w:tcW w:w="9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finance lease liabilities (included in other liabilities)</w:t>
            </w: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49,816</w:t>
            </w:r>
          </w:p>
        </w:tc>
        <w:tc>
          <w:tcPr>
            <w:tcW w:w="2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9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1,259,906</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571"/>
        </w:trPr>
        <w:tc>
          <w:tcPr>
            <w:tcW w:w="520" w:type="dxa"/>
            <w:vAlign w:val="bottom"/>
          </w:tcPr>
          <w:p>
            <w:pPr>
              <w:spacing w:after="0"/>
              <w:rPr>
                <w:sz w:val="24"/>
                <w:szCs w:val="24"/>
                <w:color w:val="auto"/>
              </w:rPr>
            </w:pPr>
          </w:p>
        </w:tc>
        <w:tc>
          <w:tcPr>
            <w:tcW w:w="9540" w:type="dxa"/>
            <w:vAlign w:val="bottom"/>
          </w:tcPr>
          <w:p>
            <w:pPr>
              <w:ind w:left="5040"/>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
        </w:trPr>
        <w:tc>
          <w:tcPr>
            <w:tcW w:w="520" w:type="dxa"/>
            <w:vAlign w:val="bottom"/>
            <w:tcBorders>
              <w:bottom w:val="single" w:sz="8" w:color="auto"/>
            </w:tcBorders>
          </w:tcPr>
          <w:p>
            <w:pPr>
              <w:spacing w:after="0"/>
              <w:rPr>
                <w:sz w:val="3"/>
                <w:szCs w:val="3"/>
                <w:color w:val="auto"/>
              </w:rPr>
            </w:pPr>
          </w:p>
        </w:tc>
        <w:tc>
          <w:tcPr>
            <w:tcW w:w="9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Central Georgia Cancer Care, P.C.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3"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components of lease costs recognized in the Statement of Operations consist of the following for the year ended December 31, 2023 and are included in general and administrative expenses unless otherwise noted:</w:t>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908,134</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24,918</w:t>
            </w:r>
          </w:p>
        </w:tc>
      </w:tr>
      <w:tr>
        <w:trPr>
          <w:trHeight w:val="216"/>
        </w:trPr>
        <w:tc>
          <w:tcPr>
            <w:tcW w:w="9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on finance lease liabilities (included in interest expense)</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2,916</w:t>
            </w:r>
          </w:p>
        </w:tc>
      </w:tr>
      <w:tr>
        <w:trPr>
          <w:trHeight w:val="223"/>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337,386</w:t>
            </w:r>
          </w:p>
        </w:tc>
      </w:tr>
      <w:tr>
        <w:trPr>
          <w:trHeight w:val="223"/>
        </w:trPr>
        <w:tc>
          <w:tcPr>
            <w:tcW w:w="954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lease costs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1,273,354</w:t>
            </w:r>
          </w:p>
        </w:tc>
        <w:tc>
          <w:tcPr>
            <w:tcW w:w="80" w:type="dxa"/>
            <w:vAlign w:val="bottom"/>
            <w:tcBorders>
              <w:top w:val="single" w:sz="8" w:color="CCEEFF"/>
            </w:tcBorders>
          </w:tcPr>
          <w:p>
            <w:pPr>
              <w:spacing w:after="0"/>
              <w:rPr>
                <w:sz w:val="19"/>
                <w:szCs w:val="19"/>
                <w:color w:val="auto"/>
              </w:rPr>
            </w:pPr>
          </w:p>
        </w:tc>
      </w:tr>
    </w:tbl>
    <w:p>
      <w:pPr>
        <w:spacing w:after="0" w:line="198"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as of December 31, 2023 was 1.72 years for operating leases and 4.10 years for finance leases. The weighted-average discount rate as of December 31, 2023 was 4.13% for operating leases and 5.57% for finance leases.</w:t>
      </w:r>
    </w:p>
    <w:p>
      <w:pPr>
        <w:spacing w:after="0" w:line="162"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The cash paid for amounts included in the measurement of lease liabilities for the year ended December 31, 2023 is as follows: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904,953</w:t>
            </w:r>
          </w:p>
        </w:tc>
      </w:tr>
      <w:tr>
        <w:trPr>
          <w:trHeight w:val="216"/>
        </w:trPr>
        <w:tc>
          <w:tcPr>
            <w:tcW w:w="9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r>
      <w:tr>
        <w:trPr>
          <w:trHeight w:val="216"/>
        </w:trPr>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25,054</w:t>
            </w:r>
          </w:p>
        </w:tc>
      </w:tr>
      <w:tr>
        <w:trPr>
          <w:trHeight w:val="23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new finance lease liabilities</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67,377</w:t>
            </w:r>
          </w:p>
        </w:tc>
      </w:tr>
    </w:tbl>
    <w:p>
      <w:pPr>
        <w:spacing w:after="0" w:line="179"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expected to be paid in each of the next five years recorded in the Balance Sheet for operating and finance leases as of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0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16"/>
        </w:trPr>
        <w:tc>
          <w:tcPr>
            <w:tcW w:w="5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713,484</w:t>
            </w:r>
          </w:p>
        </w:tc>
        <w:tc>
          <w:tcPr>
            <w:tcW w:w="18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25,871</w:t>
            </w:r>
          </w:p>
        </w:tc>
        <w:tc>
          <w:tcPr>
            <w:tcW w:w="10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514,818</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15,236</w:t>
            </w:r>
          </w:p>
        </w:tc>
      </w:tr>
      <w:tr>
        <w:trPr>
          <w:trHeight w:val="216"/>
        </w:trPr>
        <w:tc>
          <w:tcPr>
            <w:tcW w:w="5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15,236</w:t>
            </w:r>
          </w:p>
        </w:tc>
      </w:tr>
      <w:tr>
        <w:trPr>
          <w:trHeight w:val="216"/>
        </w:trPr>
        <w:tc>
          <w:tcPr>
            <w:tcW w:w="5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15,236</w:t>
            </w:r>
          </w:p>
        </w:tc>
      </w:tr>
      <w:tr>
        <w:trPr>
          <w:trHeight w:val="216"/>
        </w:trPr>
        <w:tc>
          <w:tcPr>
            <w:tcW w:w="5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9,118</w:t>
            </w:r>
          </w:p>
        </w:tc>
      </w:tr>
      <w:tr>
        <w:trPr>
          <w:trHeight w:val="27"/>
        </w:trPr>
        <w:tc>
          <w:tcPr>
            <w:tcW w:w="500" w:type="dxa"/>
            <w:vAlign w:val="bottom"/>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1,228,302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80,697</w:t>
            </w:r>
          </w:p>
        </w:tc>
      </w:tr>
      <w:tr>
        <w:trPr>
          <w:trHeight w:val="216"/>
        </w:trPr>
        <w:tc>
          <w:tcPr>
            <w:tcW w:w="5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(40,807)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(8,286)</w:t>
            </w:r>
          </w:p>
        </w:tc>
      </w:tr>
      <w:tr>
        <w:trPr>
          <w:trHeight w:val="27"/>
        </w:trPr>
        <w:tc>
          <w:tcPr>
            <w:tcW w:w="500" w:type="dxa"/>
            <w:vAlign w:val="bottom"/>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1,187,495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72,411</w:t>
            </w:r>
          </w:p>
        </w:tc>
      </w:tr>
      <w:tr>
        <w:trPr>
          <w:trHeight w:val="216"/>
        </w:trPr>
        <w:tc>
          <w:tcPr>
            <w:tcW w:w="5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(682,120)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(22,595)</w:t>
            </w:r>
          </w:p>
        </w:tc>
      </w:tr>
      <w:tr>
        <w:trPr>
          <w:trHeight w:val="27"/>
        </w:trPr>
        <w:tc>
          <w:tcPr>
            <w:tcW w:w="500" w:type="dxa"/>
            <w:vAlign w:val="bottom"/>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00" w:type="dxa"/>
            <w:vAlign w:val="bottom"/>
          </w:tcPr>
          <w:p>
            <w:pPr>
              <w:spacing w:after="0"/>
              <w:rPr>
                <w:sz w:val="19"/>
                <w:szCs w:val="19"/>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lease liabilities, net of current portion</w:t>
            </w:r>
          </w:p>
        </w:tc>
        <w:tc>
          <w:tcPr>
            <w:tcW w:w="38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505,375</w:t>
            </w:r>
          </w:p>
        </w:tc>
        <w:tc>
          <w:tcPr>
            <w:tcW w:w="18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49,816</w:t>
            </w:r>
          </w:p>
        </w:tc>
      </w:tr>
      <w:tr>
        <w:trPr>
          <w:trHeight w:val="570"/>
        </w:trPr>
        <w:tc>
          <w:tcPr>
            <w:tcW w:w="5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880" w:type="dxa"/>
            <w:vAlign w:val="bottom"/>
          </w:tcPr>
          <w:p>
            <w:pPr>
              <w:jc w:val="right"/>
              <w:ind w:right="296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00" w:type="dxa"/>
            <w:vAlign w:val="bottom"/>
            <w:tcBorders>
              <w:bottom w:val="single" w:sz="8" w:color="auto"/>
            </w:tcBorders>
          </w:tcPr>
          <w:p>
            <w:pPr>
              <w:spacing w:after="0"/>
              <w:rPr>
                <w:sz w:val="3"/>
                <w:szCs w:val="3"/>
                <w:color w:val="auto"/>
              </w:rPr>
            </w:pPr>
          </w:p>
        </w:tc>
        <w:tc>
          <w:tcPr>
            <w:tcW w:w="436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Central Georgia Cancer Care, P.C.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rFonts w:ascii="Times New Roman" w:cs="Times New Roman" w:eastAsia="Times New Roman" w:hAnsi="Times New Roman"/>
          <w:sz w:val="18"/>
          <w:szCs w:val="18"/>
          <w:b w:val="1"/>
          <w:bCs w:val="1"/>
          <w:color w:val="auto"/>
        </w:rPr>
      </w:pPr>
    </w:p>
    <w:p>
      <w:pPr>
        <w:jc w:val="both"/>
        <w:ind w:left="5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through its arrangements with certain contracts, is subject to the Medicare and Medicaid fraud and abuse laws which prohibit, among other things, any false claims, or any bribe, kick-back or rebate in return for the referral of Medicare and Medicaid patients. Violation of these prohibitions may result in civil and criminal penalties and exclusion from participation in the Medicare and Medicaid programs. Management has implemented policies and procedures they believe will assure that the Company is in substantial compliance with these laws. From time to time, the Company may receive requests for information from government agencies pursuant to their regulatory or investigational authority. Such requests can include subpoenas or demand letters for documents to assist the government in audits or investigations. Management believes that the outcome of any of these investigations would not have a material adverse effect on the Company. Laws and regulations governing the Medicare program are complex and subject to interpretation. The Company believes that it is complying in all material respects with all applicable laws and regulations and is not aware of any pending or threatened investigations involving allegations of potential wrongdoing that would have a material effect on the Company’s financial statements. Compliance with such laws and regulations can be subject to future government review and interpretation, as well as significant regulatory action including fines, penalties, and exclusion from the Medicare Program.</w:t>
      </w:r>
    </w:p>
    <w:p>
      <w:pPr>
        <w:spacing w:after="0" w:line="191"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legal proceedings and claims arising in the normal course of its business. In the opinion of management, the amount of the ultimate liability, if any, with respect to these lawsuits and claims will not have a material effect on the financial statements of the Company.</w:t>
      </w:r>
    </w:p>
    <w:p>
      <w:pPr>
        <w:spacing w:after="0" w:line="171"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Professional Liability Insurance</w:t>
      </w:r>
    </w:p>
    <w:p>
      <w:pPr>
        <w:spacing w:after="0" w:line="229"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purchased claims-made professional liability insurance coverage through May 31, 2024, covering up to $3,000,000 per incident and $5,000,000 million in annual aggregate for each physician and covering up to $1,000,000 million per incident and $3,000,000 million in the aggregate for each advanced practice provider. The policy does not require a deductible per incident.</w:t>
      </w:r>
    </w:p>
    <w:p>
      <w:pPr>
        <w:spacing w:after="0" w:line="171"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Risk</w:t>
      </w:r>
    </w:p>
    <w:p>
      <w:pPr>
        <w:spacing w:after="0" w:line="229" w:lineRule="exact"/>
        <w:rPr>
          <w:sz w:val="20"/>
          <w:szCs w:val="20"/>
          <w:color w:val="auto"/>
        </w:rPr>
      </w:pPr>
    </w:p>
    <w:p>
      <w:pPr>
        <w:ind w:left="520" w:right="80"/>
        <w:spacing w:after="0" w:line="282" w:lineRule="auto"/>
        <w:rPr>
          <w:sz w:val="20"/>
          <w:szCs w:val="20"/>
          <w:color w:val="auto"/>
        </w:rPr>
      </w:pPr>
      <w:r>
        <w:rPr>
          <w:rFonts w:ascii="Times New Roman" w:cs="Times New Roman" w:eastAsia="Times New Roman" w:hAnsi="Times New Roman"/>
          <w:sz w:val="18"/>
          <w:szCs w:val="18"/>
          <w:color w:val="auto"/>
        </w:rPr>
        <w:t>The Company’s purchases from one vendor as a percentage of cost of revenue were approximately 89% for the year ended December 31, 2023. As of December 31, 2023, the vendor accounted for approximately 99.6% of accounts payable.</w:t>
      </w:r>
    </w:p>
    <w:p>
      <w:pPr>
        <w:spacing w:after="0" w:line="158"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229" w:lineRule="exact"/>
        <w:rPr>
          <w:sz w:val="20"/>
          <w:szCs w:val="20"/>
          <w:color w:val="auto"/>
        </w:rPr>
      </w:pPr>
    </w:p>
    <w:p>
      <w:pPr>
        <w:jc w:val="both"/>
        <w:ind w:left="500" w:right="80"/>
        <w:spacing w:after="0" w:line="258" w:lineRule="auto"/>
        <w:rPr>
          <w:sz w:val="20"/>
          <w:szCs w:val="20"/>
          <w:color w:val="auto"/>
        </w:rPr>
      </w:pPr>
      <w:r>
        <w:rPr>
          <w:rFonts w:ascii="Times New Roman" w:cs="Times New Roman" w:eastAsia="Times New Roman" w:hAnsi="Times New Roman"/>
          <w:sz w:val="18"/>
          <w:szCs w:val="18"/>
          <w:color w:val="auto"/>
        </w:rPr>
        <w:t>The Company sponsors a defined contribution 401(k) profit sharing plan (the “Plan”) pursuant to which employees can elect to defer a portion of their compensation for funding of retirement investments. The Plan covers substantially all of its employees and contributions can be made up to the maximum allowed by law. Employer matching and profit-sharing contributions are discretionary. For the year ended December 31, 2023, total employer 401(k) matching and profit-sharing compensation expense was $224,503. Effective October 31, 2024, the Plan was terminated (See Note 12).</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Central Georgia Cancer Care, P.C.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52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preparing these financial statements, the Company has evaluated events and transactions for potential recognition or disclosure through December 18, 2024, the date the financial statements were available to be issued.</w:t>
      </w:r>
    </w:p>
    <w:p>
      <w:pPr>
        <w:spacing w:after="0" w:line="161" w:lineRule="exact"/>
        <w:rPr>
          <w:rFonts w:ascii="Times New Roman" w:cs="Times New Roman" w:eastAsia="Times New Roman" w:hAnsi="Times New Roman"/>
          <w:sz w:val="18"/>
          <w:szCs w:val="18"/>
          <w:b w:val="1"/>
          <w:bCs w:val="1"/>
          <w:color w:val="auto"/>
        </w:rPr>
      </w:pPr>
    </w:p>
    <w:p>
      <w:pPr>
        <w:jc w:val="both"/>
        <w:ind w:left="1160" w:hanging="315"/>
        <w:spacing w:after="0" w:line="266" w:lineRule="auto"/>
        <w:tabs>
          <w:tab w:leader="none" w:pos="1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 2024, the shareholders of the Company entered into an Asset Purchase Agreement (“APA”) to sell certain clinical and non-clinical assets and the business of CGCC to subsidiaries of AON, Inc. for approximately $13,300,000 in the form of cash of $6,900,000 and a promissory note of $6,400,000 payable over a five-year period.</w:t>
      </w:r>
    </w:p>
    <w:p>
      <w:pPr>
        <w:spacing w:after="0" w:line="175" w:lineRule="exact"/>
        <w:rPr>
          <w:rFonts w:ascii="Times New Roman" w:cs="Times New Roman" w:eastAsia="Times New Roman" w:hAnsi="Times New Roman"/>
          <w:sz w:val="18"/>
          <w:szCs w:val="18"/>
          <w:color w:val="auto"/>
        </w:rPr>
      </w:pPr>
    </w:p>
    <w:p>
      <w:pPr>
        <w:ind w:left="1160" w:hanging="315"/>
        <w:spacing w:after="0" w:line="282" w:lineRule="auto"/>
        <w:tabs>
          <w:tab w:leader="none" w:pos="1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above transaction, pursuant to the lessor’s early termination rights under one of the Company’s facility leases, an operating lease on such facility was early terminated effective May 2, 2025.</w:t>
      </w:r>
    </w:p>
    <w:p>
      <w:pPr>
        <w:spacing w:after="0" w:line="161" w:lineRule="exact"/>
        <w:rPr>
          <w:rFonts w:ascii="Times New Roman" w:cs="Times New Roman" w:eastAsia="Times New Roman" w:hAnsi="Times New Roman"/>
          <w:sz w:val="18"/>
          <w:szCs w:val="18"/>
          <w:color w:val="auto"/>
        </w:rPr>
      </w:pPr>
    </w:p>
    <w:p>
      <w:pPr>
        <w:jc w:val="both"/>
        <w:ind w:left="1160" w:hanging="315"/>
        <w:spacing w:after="0" w:line="266" w:lineRule="auto"/>
        <w:tabs>
          <w:tab w:leader="none" w:pos="1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October 31, 2024, the Company terminated its defined contribution 401(k) profit sharing plan as the Company employees were able to participate in the AON, Inc. plan in connection with the above acquisition. The Company has incurred no additional liabilities as a result of its termination of the above plan.</w:t>
      </w:r>
    </w:p>
    <w:p>
      <w:pPr>
        <w:spacing w:after="0" w:line="175" w:lineRule="exact"/>
        <w:rPr>
          <w:rFonts w:ascii="Times New Roman" w:cs="Times New Roman" w:eastAsia="Times New Roman" w:hAnsi="Times New Roman"/>
          <w:sz w:val="18"/>
          <w:szCs w:val="18"/>
          <w:color w:val="auto"/>
        </w:rPr>
      </w:pPr>
    </w:p>
    <w:p>
      <w:pPr>
        <w:ind w:left="1160" w:hanging="315"/>
        <w:spacing w:after="0" w:line="282" w:lineRule="auto"/>
        <w:tabs>
          <w:tab w:leader="none" w:pos="1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15, 2024, the Company borrowed $800,000 against its line of credit as discussed in Note 5. The borrowings were repaid on February 28, 2024.</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decimal"/>
      <w:start w:val="6"/>
    </w:lvl>
  </w:abstractNum>
  <w:abstractNum w:abstractNumId="8">
    <w:nsid w:val="216231B"/>
    <w:multiLevelType w:val="hybridMultilevel"/>
    <w:lvl w:ilvl="0">
      <w:lvlJc w:val="left"/>
      <w:lvlText w:val="%1."/>
      <w:numFmt w:val="decimal"/>
      <w:start w:val="7"/>
    </w:lvl>
  </w:abstractNum>
  <w:abstractNum w:abstractNumId="9">
    <w:nsid w:val="1F16E9E8"/>
    <w:multiLevelType w:val="hybridMultilevel"/>
    <w:lvl w:ilvl="0">
      <w:lvlJc w:val="left"/>
      <w:lvlText w:val="%1."/>
      <w:numFmt w:val="decimal"/>
      <w:start w:val="8"/>
    </w:lvl>
  </w:abstractNum>
  <w:abstractNum w:abstractNumId="10">
    <w:nsid w:val="1190CDE7"/>
    <w:multiLevelType w:val="hybridMultilevel"/>
    <w:lvl w:ilvl="0">
      <w:lvlJc w:val="left"/>
      <w:lvlText w:val="%1."/>
      <w:numFmt w:val="decimal"/>
      <w:start w:val="11"/>
    </w:lvl>
  </w:abstractNum>
  <w:abstractNum w:abstractNumId="11">
    <w:nsid w:val="66EF438D"/>
    <w:multiLevelType w:val="hybridMultilevel"/>
    <w:lvl w:ilvl="0">
      <w:lvlJc w:val="left"/>
      <w:lvlText w:val="%1."/>
      <w:numFmt w:val="decimal"/>
      <w:start w:val="1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13" Type="http://schemas.openxmlformats.org/officeDocument/2006/relationships/hyperlink" Target="https://www.sec.gov/Archives/edgar/data/1839998/000162828024052081/cgccproformafinancialinfo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2024-12-26T11:54:42Z</dcterms:created>
  <dcterms:modified xsi:type="dcterms:W3CDTF">2024-12-26T11:54:42Z</dcterms:modified>
</cp:coreProperties>
</file>