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As filed with the Securities and Exchange Commission on December 11, 2024</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333-274975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Amendment No. 2 to the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S-1</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AMERICAN ONCOLOGY NETWORK, INC.</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8000</w:t>
            </w:r>
          </w:p>
        </w:tc>
        <w:tc>
          <w:tcPr>
            <w:tcW w:w="280" w:type="dxa"/>
            <w:vAlign w:val="bottom"/>
          </w:tcPr>
          <w:p>
            <w:pPr>
              <w:spacing w:after="0"/>
              <w:rPr>
                <w:sz w:val="16"/>
                <w:szCs w:val="16"/>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85-3984427</w:t>
            </w:r>
          </w:p>
        </w:tc>
      </w:tr>
      <w:tr>
        <w:trPr>
          <w:trHeight w:val="23"/>
        </w:trPr>
        <w:tc>
          <w:tcPr>
            <w:tcW w:w="35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214"/>
        </w:trPr>
        <w:tc>
          <w:tcPr>
            <w:tcW w:w="38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8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(Primary Standard Industrial</w:t>
            </w: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8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8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Classification Code Number)</w:t>
            </w: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14543 Global Parkway, Suite 110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 Myers, FL 33913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(833) 886-1725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Charles F. Goddard,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Counsel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14543 Global Parkway, Suite 110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 Myers, FL 33913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(833) 886-1725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9" w:lineRule="exact"/>
        <w:rPr>
          <w:sz w:val="24"/>
          <w:szCs w:val="24"/>
          <w:color w:val="auto"/>
        </w:rPr>
      </w:pPr>
    </w:p>
    <w:p>
      <w:pPr>
        <w:jc w:val="both"/>
        <w:ind w:left="4980" w:right="4940" w:hanging="41"/>
        <w:spacing w:after="0" w:line="265" w:lineRule="auto"/>
        <w:tabs>
          <w:tab w:leader="none" w:pos="512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Brian Lee, Esq. Dentons US LLP</w:t>
      </w:r>
    </w:p>
    <w:p>
      <w:pPr>
        <w:jc w:val="center"/>
        <w:spacing w:after="0"/>
        <w:rPr>
          <w:sz w:val="20"/>
          <w:szCs w:val="20"/>
          <w:color w:val="auto"/>
        </w:rPr>
      </w:pPr>
      <w:r>
        <w:rPr>
          <w:rFonts w:ascii="Times New Roman" w:cs="Times New Roman" w:eastAsia="Times New Roman" w:hAnsi="Times New Roman"/>
          <w:sz w:val="18"/>
          <w:szCs w:val="18"/>
          <w:b w:val="1"/>
          <w:bCs w:val="1"/>
          <w:color w:val="auto"/>
        </w:rPr>
        <w:t>1221 Avenue of the Americas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768-6926</w:t>
      </w:r>
    </w:p>
    <w:p>
      <w:pPr>
        <w:spacing w:after="0" w:line="9" w:lineRule="exact"/>
        <w:rPr>
          <w:sz w:val="24"/>
          <w:szCs w:val="24"/>
          <w:color w:val="auto"/>
        </w:rPr>
      </w:pPr>
    </w:p>
    <w:p>
      <w:pPr>
        <w:jc w:val="both"/>
        <w:ind w:firstLine="360"/>
        <w:spacing w:after="0" w:line="250" w:lineRule="auto"/>
        <w:rPr>
          <w:sz w:val="20"/>
          <w:szCs w:val="20"/>
          <w:color w:val="auto"/>
        </w:rPr>
      </w:pPr>
      <w:r>
        <w:rPr>
          <w:rFonts w:ascii="Times New Roman" w:cs="Times New Roman" w:eastAsia="Times New Roman" w:hAnsi="Times New Roman"/>
          <w:sz w:val="18"/>
          <w:szCs w:val="18"/>
          <w:b w:val="1"/>
          <w:bCs w:val="1"/>
          <w:color w:val="auto"/>
        </w:rPr>
        <w:t>Approximate date of commencement of proposed sale of the securities to the public</w:t>
      </w:r>
      <w:r>
        <w:rPr>
          <w:rFonts w:ascii="Times New Roman" w:cs="Times New Roman" w:eastAsia="Times New Roman" w:hAnsi="Times New Roman"/>
          <w:sz w:val="18"/>
          <w:szCs w:val="18"/>
          <w:color w:val="auto"/>
        </w:rPr>
        <w:t>: From time to time after this Registration Statement becomes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w:t>
      </w:r>
    </w:p>
    <w:p>
      <w:pPr>
        <w:spacing w:after="0" w:line="1" w:lineRule="exact"/>
        <w:rPr>
          <w:sz w:val="24"/>
          <w:szCs w:val="24"/>
          <w:color w:val="auto"/>
        </w:rPr>
      </w:pPr>
    </w:p>
    <w:p>
      <w:pPr>
        <w:jc w:val="both"/>
        <w:ind w:firstLine="360"/>
        <w:spacing w:after="0" w:line="217"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(the “Securities Act”) check the following box: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360"/>
        <w:spacing w:after="0" w:line="216"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360"/>
        <w:spacing w:after="0" w:line="216"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360"/>
        <w:spacing w:after="0" w:line="249" w:lineRule="auto"/>
        <w:rPr>
          <w:sz w:val="20"/>
          <w:szCs w:val="20"/>
          <w:color w:val="auto"/>
        </w:rPr>
      </w:pPr>
      <w:r>
        <w:rPr>
          <w:rFonts w:ascii="Times New Roman" w:cs="Times New Roman" w:eastAsia="Times New Roman" w:hAnsi="Times New Roman"/>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w:t>
      </w:r>
    </w:p>
    <w:p>
      <w:pPr>
        <w:spacing w:after="0" w:line="1" w:lineRule="exact"/>
        <w:rPr>
          <w:sz w:val="24"/>
          <w:szCs w:val="24"/>
          <w:color w:val="auto"/>
        </w:rPr>
      </w:pPr>
    </w:p>
    <w:p>
      <w:pPr>
        <w:jc w:val="both"/>
        <w:ind w:firstLine="360"/>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65"/>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240" w:type="dxa"/>
            <w:vAlign w:val="bottom"/>
          </w:tcPr>
          <w:p>
            <w:pPr>
              <w:ind w:left="1340"/>
              <w:spacing w:after="0" w:line="181" w:lineRule="exact"/>
              <w:rPr>
                <w:sz w:val="20"/>
                <w:szCs w:val="20"/>
                <w:color w:val="auto"/>
              </w:rPr>
            </w:pPr>
            <w:r>
              <w:rPr>
                <w:rFonts w:ascii="MS PGothic" w:cs="MS PGothic" w:eastAsia="MS PGothic" w:hAnsi="MS PGothic"/>
                <w:sz w:val="18"/>
                <w:szCs w:val="18"/>
                <w:color w:val="auto"/>
              </w:rPr>
              <w:t>☐</w:t>
            </w:r>
          </w:p>
        </w:tc>
        <w:tc>
          <w:tcPr>
            <w:tcW w:w="4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Accelerated filer</w:t>
            </w:r>
          </w:p>
        </w:tc>
        <w:tc>
          <w:tcPr>
            <w:tcW w:w="1720" w:type="dxa"/>
            <w:vAlign w:val="bottom"/>
          </w:tcPr>
          <w:p>
            <w:pPr>
              <w:ind w:left="1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240" w:type="dxa"/>
            <w:vAlign w:val="bottom"/>
          </w:tcPr>
          <w:p>
            <w:pPr>
              <w:ind w:left="1340"/>
              <w:spacing w:after="0" w:line="181" w:lineRule="exact"/>
              <w:rPr>
                <w:sz w:val="20"/>
                <w:szCs w:val="20"/>
                <w:color w:val="auto"/>
              </w:rPr>
            </w:pPr>
            <w:r>
              <w:rPr>
                <w:rFonts w:ascii="MS PGothic" w:cs="MS PGothic" w:eastAsia="MS PGothic" w:hAnsi="MS PGothic"/>
                <w:sz w:val="18"/>
                <w:szCs w:val="18"/>
                <w:color w:val="auto"/>
              </w:rPr>
              <w:t>☒</w:t>
            </w:r>
          </w:p>
        </w:tc>
        <w:tc>
          <w:tcPr>
            <w:tcW w:w="4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2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9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2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35" w:lineRule="exact"/>
        <w:rPr>
          <w:sz w:val="24"/>
          <w:szCs w:val="24"/>
          <w:color w:val="auto"/>
        </w:rPr>
      </w:pPr>
    </w:p>
    <w:p>
      <w:pPr>
        <w:ind w:firstLine="3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9951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American Oncology Network, Inc., a Delaware corporation (the “Company”), is filing this Post-Effective Amendment No. 2 (this “Post-Effective Amendment”) to the Company’s Registration Statement on Form S-1 (No. 333-274975), filed with the Securities and Exchange Commission (the “SEC”) on October 13, 2023 (the “Registration Statement”) and declared effective on December 6, 2023, and as amended, to deregister any and all securities of the Company registered but unsold or otherwise unissued under the Registration Statement as of the date hereof.</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terminating all offerings of securities pursuant to the Registration Statement. In accordance with an undertaking made by the Company in the Registration Statement to remove from registration, by means of a post-effective amendment, any of the securities that remain unsold at the termination of the offering, effective upon filing of this Post-Effective Amendment, the Company hereby removes from registration any and all of such securities of the Company registered but unsold under the Registration Statement, if any, as of the date of this Post-Effective Amendment. The Registration Statement is hereby amended, as appropriate, to reflect the deregistration of such securities, and the Company hereby terminates the effectiveness of the Registration Statement.</w:t>
      </w:r>
    </w:p>
    <w:p>
      <w:pPr>
        <w:sectPr>
          <w:pgSz w:w="11900" w:h="16838" w:orient="portrait"/>
          <w:cols w:equalWidth="0" w:num="1">
            <w:col w:w="11240"/>
          </w:cols>
          <w:pgMar w:left="320" w:top="765"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S-1 and has duly caused this registration statement to be signed on its behalf by the undersigned, thereunto duly authorized, in the City of Fort Myers, State of Florida, on December 11, 2024.</w:t>
      </w:r>
    </w:p>
    <w:p>
      <w:pPr>
        <w:spacing w:after="0" w:line="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AMERICAN ONCOLOGY NETWORK, INC.</w:t>
      </w:r>
    </w:p>
    <w:p>
      <w:pPr>
        <w:spacing w:after="0" w:line="256" w:lineRule="exact"/>
        <w:rPr>
          <w:sz w:val="20"/>
          <w:szCs w:val="20"/>
          <w:color w:val="auto"/>
        </w:rPr>
      </w:pPr>
    </w:p>
    <w:tbl>
      <w:tblPr>
        <w:tblLayout w:type="fixed"/>
        <w:tblInd w:w="474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Todd Schonherz</w:t>
            </w:r>
          </w:p>
        </w:tc>
      </w:tr>
      <w:tr>
        <w:trPr>
          <w:trHeight w:val="2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Todd Schonherz</w:t>
            </w: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220"/>
      </w:cols>
      <w:pgMar w:left="320" w:top="76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2024-12-12T05:09:55Z</dcterms:created>
  <dcterms:modified xsi:type="dcterms:W3CDTF">2024-12-12T05:09:55Z</dcterms:modified>
</cp:coreProperties>
</file>