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American Oncology Network,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3420" w:type="dxa"/>
            <w:vAlign w:val="bottom"/>
            <w:gridSpan w:val="3"/>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8"/>
                <w:szCs w:val="18"/>
                <w:b w:val="1"/>
                <w:bCs w:val="1"/>
                <w:color w:val="auto"/>
              </w:rPr>
              <w:t>001-40177</w:t>
            </w:r>
          </w:p>
        </w:tc>
        <w:tc>
          <w:tcPr>
            <w:tcW w:w="480" w:type="dxa"/>
            <w:vAlign w:val="bottom"/>
            <w:shd w:val="clear" w:color="auto" w:fill="FEFEFE"/>
          </w:tcPr>
          <w:p>
            <w:pPr>
              <w:spacing w:after="0"/>
              <w:rPr>
                <w:sz w:val="22"/>
                <w:szCs w:val="22"/>
                <w:color w:val="auto"/>
              </w:rPr>
            </w:pPr>
          </w:p>
        </w:tc>
        <w:tc>
          <w:tcPr>
            <w:tcW w:w="740" w:type="dxa"/>
            <w:vAlign w:val="bottom"/>
            <w:shd w:val="clear" w:color="auto" w:fill="FEFEFE"/>
          </w:tcPr>
          <w:p>
            <w:pPr>
              <w:spacing w:after="0"/>
              <w:rPr>
                <w:sz w:val="22"/>
                <w:szCs w:val="22"/>
                <w:color w:val="auto"/>
              </w:rPr>
            </w:pPr>
          </w:p>
        </w:tc>
        <w:tc>
          <w:tcPr>
            <w:tcW w:w="2760" w:type="dxa"/>
            <w:vAlign w:val="bottom"/>
            <w:shd w:val="clear" w:color="auto" w:fill="FEFEFE"/>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85-3984427</w:t>
            </w:r>
          </w:p>
        </w:tc>
        <w:tc>
          <w:tcPr>
            <w:tcW w:w="1000" w:type="dxa"/>
            <w:vAlign w:val="bottom"/>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420" w:type="dxa"/>
            <w:vAlign w:val="bottom"/>
            <w:gridSpan w:val="3"/>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620" w:type="dxa"/>
            <w:vAlign w:val="bottom"/>
            <w:shd w:val="clear" w:color="auto" w:fill="FEFEFE"/>
          </w:tcPr>
          <w:p>
            <w:pPr>
              <w:spacing w:after="0"/>
              <w:rPr>
                <w:sz w:val="20"/>
                <w:szCs w:val="20"/>
                <w:color w:val="auto"/>
              </w:rPr>
            </w:pPr>
          </w:p>
        </w:tc>
        <w:tc>
          <w:tcPr>
            <w:tcW w:w="2840" w:type="dxa"/>
            <w:vAlign w:val="bottom"/>
            <w:gridSpan w:val="3"/>
            <w:shd w:val="clear" w:color="auto" w:fill="FEFEFE"/>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760" w:type="dxa"/>
            <w:vAlign w:val="bottom"/>
            <w:gridSpan w:val="2"/>
            <w:shd w:val="clear" w:color="auto" w:fill="FEFEFE"/>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45"/>
        </w:trPr>
        <w:tc>
          <w:tcPr>
            <w:tcW w:w="3420" w:type="dxa"/>
            <w:vAlign w:val="bottom"/>
            <w:tcBorders>
              <w:bottom w:val="single" w:sz="8" w:color="FEFEFE"/>
            </w:tcBorders>
            <w:gridSpan w:val="3"/>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620" w:type="dxa"/>
            <w:vAlign w:val="bottom"/>
            <w:tcBorders>
              <w:bottom w:val="single" w:sz="8" w:color="FEFEFE"/>
            </w:tcBorders>
            <w:shd w:val="clear" w:color="auto" w:fill="FEFEFE"/>
          </w:tcPr>
          <w:p>
            <w:pPr>
              <w:spacing w:after="0"/>
              <w:rPr>
                <w:sz w:val="21"/>
                <w:szCs w:val="21"/>
                <w:color w:val="auto"/>
              </w:rPr>
            </w:pPr>
          </w:p>
        </w:tc>
        <w:tc>
          <w:tcPr>
            <w:tcW w:w="1620" w:type="dxa"/>
            <w:vAlign w:val="bottom"/>
            <w:tcBorders>
              <w:bottom w:val="single" w:sz="8" w:color="FEFEFE"/>
            </w:tcBorders>
            <w:shd w:val="clear" w:color="auto" w:fill="FEFEFE"/>
          </w:tcPr>
          <w:p>
            <w:pPr>
              <w:spacing w:after="0"/>
              <w:rPr>
                <w:sz w:val="21"/>
                <w:szCs w:val="21"/>
                <w:color w:val="auto"/>
              </w:rPr>
            </w:pPr>
          </w:p>
        </w:tc>
        <w:tc>
          <w:tcPr>
            <w:tcW w:w="480" w:type="dxa"/>
            <w:vAlign w:val="bottom"/>
            <w:tcBorders>
              <w:bottom w:val="single" w:sz="8" w:color="FEFEFE"/>
            </w:tcBorders>
            <w:shd w:val="clear" w:color="auto" w:fill="FEFEFE"/>
          </w:tcPr>
          <w:p>
            <w:pPr>
              <w:spacing w:after="0"/>
              <w:rPr>
                <w:sz w:val="21"/>
                <w:szCs w:val="21"/>
                <w:color w:val="auto"/>
              </w:rPr>
            </w:pPr>
          </w:p>
        </w:tc>
        <w:tc>
          <w:tcPr>
            <w:tcW w:w="740" w:type="dxa"/>
            <w:vAlign w:val="bottom"/>
            <w:tcBorders>
              <w:bottom w:val="single" w:sz="8" w:color="FEFEFE"/>
            </w:tcBorders>
            <w:shd w:val="clear" w:color="auto" w:fill="FEFEFE"/>
          </w:tcPr>
          <w:p>
            <w:pPr>
              <w:spacing w:after="0"/>
              <w:rPr>
                <w:sz w:val="21"/>
                <w:szCs w:val="21"/>
                <w:color w:val="auto"/>
              </w:rPr>
            </w:pPr>
          </w:p>
        </w:tc>
        <w:tc>
          <w:tcPr>
            <w:tcW w:w="3760" w:type="dxa"/>
            <w:vAlign w:val="bottom"/>
            <w:tcBorders>
              <w:bottom w:val="single" w:sz="8" w:color="FEFEFE"/>
            </w:tcBorders>
            <w:gridSpan w:val="2"/>
            <w:shd w:val="clear" w:color="auto" w:fill="FEFEFE"/>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FEFEFE"/>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highlight w:val="white"/>
                <w:w w:val="98"/>
              </w:rPr>
              <w:t>14543 Global Parkway, Suite 110</w:t>
            </w:r>
          </w:p>
        </w:tc>
        <w:tc>
          <w:tcPr>
            <w:tcW w:w="1620" w:type="dxa"/>
            <w:vAlign w:val="bottom"/>
            <w:shd w:val="clear" w:color="auto" w:fill="FEFEFE"/>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shd w:val="clear" w:color="auto" w:fill="FEFEFE"/>
          </w:tcPr>
          <w:p>
            <w:pPr>
              <w:spacing w:after="0"/>
              <w:rPr>
                <w:sz w:val="19"/>
                <w:szCs w:val="19"/>
                <w:color w:val="auto"/>
              </w:rPr>
            </w:pPr>
          </w:p>
        </w:tc>
        <w:tc>
          <w:tcPr>
            <w:tcW w:w="2760" w:type="dxa"/>
            <w:vAlign w:val="bottom"/>
            <w:vMerge w:val="restart"/>
            <w:shd w:val="clear" w:color="auto" w:fill="FEFEFE"/>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33913</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00" w:type="dxa"/>
            <w:vAlign w:val="bottom"/>
            <w:shd w:val="clear" w:color="auto" w:fill="FEFEFE"/>
          </w:tcPr>
          <w:p>
            <w:pPr>
              <w:spacing w:after="0"/>
              <w:rPr>
                <w:sz w:val="10"/>
                <w:szCs w:val="10"/>
                <w:color w:val="auto"/>
              </w:rPr>
            </w:pPr>
          </w:p>
        </w:tc>
        <w:tc>
          <w:tcPr>
            <w:tcW w:w="1180" w:type="dxa"/>
            <w:vAlign w:val="bottom"/>
            <w:vMerge w:val="restart"/>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highlight w:val="white"/>
                <w:w w:val="98"/>
              </w:rPr>
              <w:t>Fort Myers, FL</w:t>
            </w:r>
          </w:p>
        </w:tc>
        <w:tc>
          <w:tcPr>
            <w:tcW w:w="40" w:type="dxa"/>
            <w:vAlign w:val="bottom"/>
            <w:shd w:val="clear" w:color="auto" w:fill="FEFEFE"/>
          </w:tcPr>
          <w:p>
            <w:pPr>
              <w:spacing w:after="0"/>
              <w:rPr>
                <w:sz w:val="10"/>
                <w:szCs w:val="10"/>
                <w:color w:val="auto"/>
              </w:rPr>
            </w:pPr>
          </w:p>
        </w:tc>
        <w:tc>
          <w:tcPr>
            <w:tcW w:w="620" w:type="dxa"/>
            <w:vAlign w:val="bottom"/>
            <w:shd w:val="clear" w:color="auto" w:fill="FEFEFE"/>
          </w:tcPr>
          <w:p>
            <w:pPr>
              <w:spacing w:after="0"/>
              <w:rPr>
                <w:sz w:val="10"/>
                <w:szCs w:val="10"/>
                <w:color w:val="auto"/>
              </w:rPr>
            </w:pPr>
          </w:p>
        </w:tc>
        <w:tc>
          <w:tcPr>
            <w:tcW w:w="1620" w:type="dxa"/>
            <w:vAlign w:val="bottom"/>
            <w:shd w:val="clear" w:color="auto" w:fill="FEFEFE"/>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shd w:val="clear" w:color="auto" w:fill="FEFEFE"/>
          </w:tcPr>
          <w:p>
            <w:pPr>
              <w:spacing w:after="0"/>
              <w:rPr>
                <w:sz w:val="10"/>
                <w:szCs w:val="10"/>
                <w:color w:val="auto"/>
              </w:rPr>
            </w:pPr>
          </w:p>
        </w:tc>
        <w:tc>
          <w:tcPr>
            <w:tcW w:w="2760" w:type="dxa"/>
            <w:vAlign w:val="bottom"/>
            <w:vMerge w:val="continue"/>
            <w:shd w:val="clear" w:color="auto" w:fill="FEFEF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00" w:type="dxa"/>
            <w:vAlign w:val="bottom"/>
            <w:shd w:val="clear" w:color="auto" w:fill="FEFEFE"/>
          </w:tcPr>
          <w:p>
            <w:pPr>
              <w:spacing w:after="0"/>
              <w:rPr>
                <w:sz w:val="8"/>
                <w:szCs w:val="8"/>
                <w:color w:val="auto"/>
              </w:rPr>
            </w:pPr>
          </w:p>
        </w:tc>
        <w:tc>
          <w:tcPr>
            <w:tcW w:w="1180" w:type="dxa"/>
            <w:vAlign w:val="bottom"/>
            <w:vMerge w:val="continue"/>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620" w:type="dxa"/>
            <w:vAlign w:val="bottom"/>
            <w:shd w:val="clear" w:color="auto" w:fill="FEFEFE"/>
          </w:tcPr>
          <w:p>
            <w:pPr>
              <w:spacing w:after="0"/>
              <w:rPr>
                <w:sz w:val="8"/>
                <w:szCs w:val="8"/>
                <w:color w:val="auto"/>
              </w:rPr>
            </w:pPr>
          </w:p>
        </w:tc>
        <w:tc>
          <w:tcPr>
            <w:tcW w:w="1620" w:type="dxa"/>
            <w:vAlign w:val="bottom"/>
            <w:shd w:val="clear" w:color="auto" w:fill="FEFEFE"/>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shd w:val="clear" w:color="auto" w:fill="FEFEFE"/>
          </w:tcPr>
          <w:p>
            <w:pPr>
              <w:spacing w:after="0"/>
              <w:rPr>
                <w:sz w:val="8"/>
                <w:szCs w:val="8"/>
                <w:color w:val="auto"/>
              </w:rPr>
            </w:pPr>
          </w:p>
        </w:tc>
        <w:tc>
          <w:tcPr>
            <w:tcW w:w="2760" w:type="dxa"/>
            <w:vAlign w:val="bottom"/>
            <w:shd w:val="clear" w:color="auto" w:fill="FEFEF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660" w:type="dxa"/>
            <w:vAlign w:val="bottom"/>
            <w:gridSpan w:val="5"/>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80" w:type="dxa"/>
            <w:vAlign w:val="bottom"/>
          </w:tcPr>
          <w:p>
            <w:pPr>
              <w:spacing w:after="0"/>
              <w:rPr>
                <w:sz w:val="24"/>
                <w:szCs w:val="24"/>
                <w:color w:val="auto"/>
              </w:rPr>
            </w:pPr>
          </w:p>
        </w:tc>
        <w:tc>
          <w:tcPr>
            <w:tcW w:w="740" w:type="dxa"/>
            <w:vAlign w:val="bottom"/>
            <w:shd w:val="clear" w:color="auto" w:fill="FEFEFE"/>
          </w:tcPr>
          <w:p>
            <w:pPr>
              <w:spacing w:after="0"/>
              <w:rPr>
                <w:sz w:val="24"/>
                <w:szCs w:val="24"/>
                <w:color w:val="auto"/>
              </w:rPr>
            </w:pPr>
          </w:p>
        </w:tc>
        <w:tc>
          <w:tcPr>
            <w:tcW w:w="2760" w:type="dxa"/>
            <w:vAlign w:val="bottom"/>
            <w:shd w:val="clear" w:color="auto" w:fill="FEFEFE"/>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(833) 886-1725</w:t>
            </w: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20" w:type="dxa"/>
            <w:vAlign w:val="bottom"/>
            <w:gridSpan w:val="6"/>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6755130" cy="1440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1440180"/>
                    </a:xfrm>
                    <a:prstGeom prst="rect">
                      <a:avLst/>
                    </a:prstGeom>
                    <a:noFill/>
                  </pic:spPr>
                </pic:pic>
              </a:graphicData>
            </a:graphic>
          </wp:anchor>
        </w:drawing>
      </w:r>
    </w:p>
    <w:p>
      <w:pPr>
        <w:spacing w:after="0" w:line="34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Wingdings" w:cs="Wingdings" w:eastAsia="Wingdings" w:hAnsi="Wingdings"/>
          <w:sz w:val="18"/>
          <w:szCs w:val="18"/>
          <w:b w:val="1"/>
          <w:bCs w:val="1"/>
          <w:color w:val="auto"/>
        </w:rPr>
      </w:pPr>
    </w:p>
    <w:p>
      <w:pPr>
        <w:spacing w:after="0" w:line="20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Wingdings" w:cs="Wingdings" w:eastAsia="Wingdings" w:hAnsi="Wingdings"/>
          <w:sz w:val="18"/>
          <w:szCs w:val="18"/>
          <w:b w:val="1"/>
          <w:bCs w:val="1"/>
          <w:color w:val="auto"/>
        </w:rPr>
      </w:pPr>
    </w:p>
    <w:p>
      <w:pPr>
        <w:spacing w:after="0" w:line="20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Wingdings" w:cs="Wingdings" w:eastAsia="Wingdings" w:hAnsi="Wingdings"/>
          <w:sz w:val="18"/>
          <w:szCs w:val="18"/>
          <w:b w:val="1"/>
          <w:bCs w:val="1"/>
          <w:color w:val="auto"/>
        </w:rPr>
      </w:pPr>
    </w:p>
    <w:p>
      <w:pPr>
        <w:spacing w:after="0" w:line="200" w:lineRule="exact"/>
        <w:rPr>
          <w:rFonts w:ascii="Wingdings" w:cs="Wingdings" w:eastAsia="Wingdings" w:hAnsi="Wingdings"/>
          <w:sz w:val="18"/>
          <w:szCs w:val="18"/>
          <w:b w:val="1"/>
          <w:bCs w:val="1"/>
          <w:color w:val="auto"/>
        </w:rPr>
      </w:pPr>
    </w:p>
    <w:p>
      <w:pPr>
        <w:ind w:right="2860" w:firstLine="26"/>
        <w:spacing w:after="0" w:line="495" w:lineRule="auto"/>
        <w:tabs>
          <w:tab w:leader="none" w:pos="342"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Securities Exchange Act of 1934:</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8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1400" w:type="dxa"/>
            <w:vAlign w:val="bottom"/>
            <w:gridSpan w:val="2"/>
            <w:shd w:val="clear" w:color="auto" w:fill="FEFEFE"/>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59"/>
        </w:trPr>
        <w:tc>
          <w:tcPr>
            <w:tcW w:w="628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shd w:val="clear" w:color="auto" w:fill="FEFEFE"/>
          </w:tcPr>
          <w:p>
            <w:pPr>
              <w:spacing w:after="0"/>
              <w:rPr>
                <w:sz w:val="22"/>
                <w:szCs w:val="22"/>
                <w:color w:val="auto"/>
              </w:rPr>
            </w:pPr>
          </w:p>
        </w:tc>
        <w:tc>
          <w:tcPr>
            <w:tcW w:w="130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shd w:val="clear" w:color="auto" w:fill="FEFEFE"/>
          </w:tcPr>
          <w:p>
            <w:pPr>
              <w:spacing w:after="0"/>
              <w:rPr>
                <w:sz w:val="22"/>
                <w:szCs w:val="22"/>
                <w:color w:val="auto"/>
              </w:rPr>
            </w:pPr>
          </w:p>
        </w:tc>
        <w:tc>
          <w:tcPr>
            <w:tcW w:w="348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256"/>
        </w:trPr>
        <w:tc>
          <w:tcPr>
            <w:tcW w:w="6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AONC</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5"/>
        </w:trPr>
        <w:tc>
          <w:tcPr>
            <w:tcW w:w="6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234"/>
        </w:trPr>
        <w:tc>
          <w:tcPr>
            <w:tcW w:w="6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AONCW</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May 21, 2024, American Oncology Network, Inc. (the “Company”) announced that it has determined to voluntarily delist its Class A Common Stock (“Common Stock”) and publicly traded warrants to purchase Class A Common Stock (the “Warrants”) from the Nasdaq Capital Market (“Nasdaq”), as recommended to the Board of Directors (the “Board”) of the Company by a special committee (the “Special Committee”) of the Board comprised solely of disinterested directors. On May 21, 2024, the Company notified Nasdaq of its determination.</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making its determination, the Special Committee concluded that delisting the Company’s securities from Nasdaq is in the best interests of the Company and its stockholders. The Special Committee’s recommendation and the Board’s decision were the product of careful review and consideration of a number of factors, including, but not limited to, (1) the lack of research coverage of the Company by securities and industry analysts, (2) the lack of an active trading market for our securities on Nasdaq, and (3) the required personnel resources and the high costs relating to continued Exchange Act and Nasdaq disclosure and reporting requirements and related regulatory burdens, which have resulted and would continue to result in significant operating expense and significant attention of the Company’s management team. In addition, the Company and certain of its significant equityholders also agreed to certain protections for the holders of the Company’s common equity following the delisting, including (1) in the event such significant equityholders arrange for purchases or other acquisitions of the Company’s outstanding equity securities, such acquisitions would be made at a premium to the trading price of the Company’s Class A common stock prior to delisting, which premium shall not be less than a specified threshold (unless otherwise approved by the Special</w:t>
      </w:r>
    </w:p>
    <w:p>
      <w:pPr>
        <w:spacing w:after="0" w:line="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Committee) and (2) for such equityholders to enter into a customary stockholders’ agreement with the Company under certain circumstances. The Company provides no assurances as to the timing, pricing, or occurrence of any purchases or other acquisitions of the Company’s outstanding equity securities in the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filed with this Current Report on Form 8-K as Exhibit 99.1 and is incorporated herein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720" w:type="dxa"/>
            <w:vAlign w:val="bottom"/>
          </w:tcPr>
          <w:p>
            <w:pPr>
              <w:spacing w:after="0"/>
              <w:rPr>
                <w:sz w:val="20"/>
                <w:szCs w:val="20"/>
                <w:color w:val="auto"/>
              </w:rPr>
            </w:pPr>
          </w:p>
        </w:tc>
        <w:tc>
          <w:tcPr>
            <w:tcW w:w="60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606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372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of the Company, dated May 21, 2024</w:t>
            </w:r>
          </w:p>
        </w:tc>
        <w:tc>
          <w:tcPr>
            <w:tcW w:w="6060" w:type="dxa"/>
            <w:vAlign w:val="bottom"/>
            <w:tcBorders>
              <w:bottom w:val="single" w:sz="8" w:color="CCEEFF"/>
            </w:tcBorders>
            <w:shd w:val="clear" w:color="auto" w:fill="CCEEFF"/>
          </w:tcPr>
          <w:p>
            <w:pPr>
              <w:spacing w:after="0"/>
              <w:rPr>
                <w:sz w:val="21"/>
                <w:szCs w:val="21"/>
                <w:color w:val="auto"/>
              </w:rPr>
            </w:pPr>
          </w:p>
        </w:tc>
      </w:tr>
      <w:tr>
        <w:trPr>
          <w:trHeight w:val="243"/>
        </w:trPr>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tc>
      </w:tr>
      <w:tr>
        <w:trPr>
          <w:trHeight w:val="1046"/>
        </w:trPr>
        <w:tc>
          <w:tcPr>
            <w:tcW w:w="14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AMERICAN ONCOLOGY NETWORK, INC.</w:t>
      </w:r>
    </w:p>
    <w:p>
      <w:pPr>
        <w:spacing w:after="0" w:line="337" w:lineRule="exact"/>
        <w:rPr>
          <w:sz w:val="20"/>
          <w:szCs w:val="20"/>
          <w:color w:val="auto"/>
        </w:rPr>
      </w:pPr>
    </w:p>
    <w:tbl>
      <w:tblPr>
        <w:tblLayout w:type="fixed"/>
        <w:tblInd w:w="480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Todd Schonherz</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Schonherz</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spacing w:after="0" w:line="110"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American Oncology Network Announces Voluntary Delistng From Nasdaq</w:t>
      </w:r>
    </w:p>
    <w:p>
      <w:pPr>
        <w:spacing w:after="0" w:line="238" w:lineRule="exact"/>
        <w:rPr>
          <w:sz w:val="20"/>
          <w:szCs w:val="20"/>
          <w:color w:val="auto"/>
        </w:rPr>
      </w:pPr>
    </w:p>
    <w:p>
      <w:pPr>
        <w:spacing w:after="0" w:line="243" w:lineRule="auto"/>
        <w:rPr>
          <w:sz w:val="20"/>
          <w:szCs w:val="20"/>
          <w:color w:val="auto"/>
        </w:rPr>
      </w:pPr>
      <w:r>
        <w:rPr>
          <w:rFonts w:ascii="Calibri" w:cs="Calibri" w:eastAsia="Calibri" w:hAnsi="Calibri"/>
          <w:sz w:val="20"/>
          <w:szCs w:val="20"/>
          <w:b w:val="1"/>
          <w:bCs w:val="1"/>
          <w:color w:val="auto"/>
        </w:rPr>
        <w:t xml:space="preserve">FORT MYERS, Fla. – May 21, 2024 – </w:t>
      </w:r>
      <w:r>
        <w:rPr>
          <w:rFonts w:ascii="Calibri" w:cs="Calibri" w:eastAsia="Calibri" w:hAnsi="Calibri"/>
          <w:sz w:val="20"/>
          <w:szCs w:val="20"/>
          <w:color w:val="auto"/>
        </w:rPr>
        <w:t>American Oncology Network (“AON” or the “Company”) (Nasdaq: AONC), a rapidly growing network</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community-based oncology practces, announced today its decision to voluntarily delist its Class A common stock and warrants from The Nasdaq Capital Market ("Nasdaq"). The Company’s decision to delist its securites from Nasdaq was recommended to the Board of Directors (the "Board") of the Company by a Special Commitee (the "Special Commitee") of the Board comprised solely of independent directors.</w:t>
      </w:r>
    </w:p>
    <w:p>
      <w:pPr>
        <w:spacing w:after="0" w:line="155" w:lineRule="exact"/>
        <w:rPr>
          <w:sz w:val="20"/>
          <w:szCs w:val="20"/>
          <w:color w:val="auto"/>
        </w:rPr>
      </w:pPr>
    </w:p>
    <w:p>
      <w:pPr>
        <w:ind w:right="100"/>
        <w:spacing w:after="0" w:line="230" w:lineRule="auto"/>
        <w:rPr>
          <w:sz w:val="20"/>
          <w:szCs w:val="20"/>
          <w:color w:val="auto"/>
        </w:rPr>
      </w:pPr>
      <w:r>
        <w:rPr>
          <w:rFonts w:ascii="Calibri" w:cs="Calibri" w:eastAsia="Calibri" w:hAnsi="Calibri"/>
          <w:sz w:val="20"/>
          <w:szCs w:val="20"/>
          <w:color w:val="auto"/>
        </w:rPr>
        <w:t>The Company intends to fle a Form 25 with the Securites and Exchange Commission (the “SEC”) to delist its Class A common stock and warrants from Nasdaq and to deregister its Class A common stock and warrants under Secton 12(b) of the Securites Exchange Act of 1934, as amended (the "Exchange Act"), on or about May 31, 2024, and as a result, the Company expects that the last trading day of its Class A common stock and warrants on Nasdaq will be on or about June 7, 2024.</w:t>
      </w:r>
    </w:p>
    <w:p>
      <w:pPr>
        <w:spacing w:after="0" w:line="252"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In making its determinaton, the Special Commitee concluded that delistng the Company’s securites from Nasdaq is in the best interests of the Company and its stakeholders. The Special Commitee’s recommendaton and the Board’s decision were the product of careful review and consideraton of a number of factors, including, but not limited to, (1) the lack of research coverage of the Company by securites and industry analysts, (2) the lack of an actve trading market for its securites on Nasdaq, and (3) the required personnel resources and expenses relatng to contnued Exchange Act and Nasdaq disclosure and reportng requirements and related regulatory burdens, which have resulted and would contnue to result in signifcant operatng expense and atenton of the Company’s management team.</w:t>
      </w:r>
    </w:p>
    <w:p>
      <w:pPr>
        <w:spacing w:after="0" w:line="259"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Todd Schonherz, Chief Executve Ofcer, commented, “AON has delivered an impressive fve-year revenue CAGR of 42% and contnues to experience strong momentum with the additon of 40 providers and four new practces to the network year-to-date. AON is in a healthy fnancial positon with a robust balance sheet of over $100 million in cash and short-term securites as of March 31, 2024. While going public allowed us to raise growth capital and provide equity to key stakeholders, we believe that we will be beter positoned to maximize shareholder value going forward by delistng.”</w:t>
      </w:r>
    </w:p>
    <w:p>
      <w:pPr>
        <w:spacing w:after="0" w:line="256" w:lineRule="exact"/>
        <w:rPr>
          <w:sz w:val="20"/>
          <w:szCs w:val="20"/>
          <w:color w:val="auto"/>
        </w:rPr>
      </w:pPr>
    </w:p>
    <w:p>
      <w:pPr>
        <w:ind w:right="100"/>
        <w:spacing w:after="0" w:line="233" w:lineRule="auto"/>
        <w:rPr>
          <w:sz w:val="20"/>
          <w:szCs w:val="20"/>
          <w:color w:val="auto"/>
        </w:rPr>
      </w:pPr>
      <w:r>
        <w:rPr>
          <w:rFonts w:ascii="Calibri" w:cs="Calibri" w:eastAsia="Calibri" w:hAnsi="Calibri"/>
          <w:sz w:val="20"/>
          <w:szCs w:val="20"/>
          <w:color w:val="auto"/>
        </w:rPr>
        <w:t>Following the delistng of the Company’s common stock and warrants from Nasdaq, the Company expects that its common stock and warrants will be quoted for trading on a market operated by OTC Markets Group Inc. (the “OTC”) so that a trading market may contnue to exist for such securites. There is no guarantee, however, that a broker will contnue to make a market in the common stock and warrants.</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American Oncology Network</w:t>
      </w:r>
    </w:p>
    <w:p>
      <w:pPr>
        <w:spacing w:after="0" w:line="252" w:lineRule="exact"/>
        <w:rPr>
          <w:sz w:val="20"/>
          <w:szCs w:val="20"/>
          <w:color w:val="auto"/>
        </w:rPr>
      </w:pPr>
    </w:p>
    <w:p>
      <w:pPr>
        <w:ind w:right="140"/>
        <w:spacing w:after="0" w:line="232" w:lineRule="auto"/>
        <w:rPr>
          <w:sz w:val="20"/>
          <w:szCs w:val="20"/>
          <w:color w:val="auto"/>
        </w:rPr>
      </w:pPr>
      <w:r>
        <w:rPr>
          <w:rFonts w:ascii="Calibri" w:cs="Calibri" w:eastAsia="Calibri" w:hAnsi="Calibri"/>
          <w:sz w:val="20"/>
          <w:szCs w:val="20"/>
          <w:color w:val="auto"/>
        </w:rPr>
        <w:t>American Oncology Network (AON) (Nasdaq: AONC) is an alliance of physicians and seasoned healthcare leaders partnering to ensure the long-term success and viability of community oncology and other specialtes. Founded in 2018, AON’s rapidly expanding network represents more than 240 providers practcing across 21 states. AON pioneers innovatve healthcare solutons through its physician-led model, fostering value-based care that improves patent outcomes while reducing costs and expanding access to quality care. AON equips its network physicians with the tools they need to thrive independently while providing comprehensive support, integrated revenue-diversifying ancillary services, and practce management expertse, enabling physicians to focus on what maters most – providing the highest standard of care for every patent. AON is commited to promotng health equity by addressing disparites in cancer care and ensuring that all patents have access to the care they need</w:t>
      </w:r>
    </w:p>
    <w:p>
      <w:pPr>
        <w:sectPr>
          <w:pgSz w:w="11900" w:h="16838" w:orient="portrait"/>
          <w:cols w:equalWidth="0" w:num="1">
            <w:col w:w="11200"/>
          </w:cols>
          <w:pgMar w:left="320" w:top="1440" w:right="379" w:bottom="1440" w:gutter="0" w:footer="0" w:header="0"/>
        </w:sectPr>
      </w:pPr>
    </w:p>
    <w:bookmarkStart w:id="4" w:name="page5"/>
    <w:bookmarkEnd w:id="4"/>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to achieve optmal health outcomes. With a focus on innovaton and collaboraton, AON is shaping the future of community oncology.</w:t>
      </w:r>
    </w:p>
    <w:p>
      <w:pPr>
        <w:spacing w:after="0" w:line="225" w:lineRule="auto"/>
        <w:rPr>
          <w:sz w:val="20"/>
          <w:szCs w:val="20"/>
          <w:color w:val="auto"/>
        </w:rPr>
      </w:pPr>
      <w:r>
        <w:rPr>
          <w:rFonts w:ascii="Calibri" w:cs="Calibri" w:eastAsia="Calibri" w:hAnsi="Calibri"/>
          <w:sz w:val="20"/>
          <w:szCs w:val="20"/>
          <w:color w:val="auto"/>
        </w:rPr>
        <w:t xml:space="preserve">Learn more at </w:t>
      </w:r>
      <w:r>
        <w:rPr>
          <w:rFonts w:ascii="Calibri" w:cs="Calibri" w:eastAsia="Calibri" w:hAnsi="Calibri"/>
          <w:sz w:val="20"/>
          <w:szCs w:val="20"/>
          <w:u w:val="single" w:color="auto"/>
          <w:color w:val="0563C1"/>
        </w:rPr>
        <w:t>www.AONcology.com</w:t>
      </w:r>
      <w:r>
        <w:rPr>
          <w:rFonts w:ascii="Calibri" w:cs="Calibri" w:eastAsia="Calibri" w:hAnsi="Calibri"/>
          <w:sz w:val="20"/>
          <w:szCs w:val="20"/>
          <w:color w:val="auto"/>
          <w:highlight w:val="white"/>
        </w:rPr>
        <w:t>.</w:t>
      </w:r>
    </w:p>
    <w:p>
      <w:pPr>
        <w:spacing w:after="0" w:line="9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212529"/>
        </w:rPr>
        <w:t>Forward-Looking Statements</w:t>
      </w:r>
    </w:p>
    <w:p>
      <w:pPr>
        <w:spacing w:after="0" w:line="90"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color w:val="212529"/>
        </w:rPr>
        <w:t>This press release contains forward-looking statements for purposes of the safe harbor provisions under the United States Private Securites Litgaton Reform Act of 1995, including statements regarding the Company's strategy, intentons to voluntarily delist its securites from Nasdaq and any antcipated results of such actons. Forward-looking statements are typically identfed by words such as “plan,” “believe,” “expect,” “antcipate,” “intend,” “contnue,” “could,” “may,” “might,” “possible,” “potental,” “predict,” “should,” “would” and other similar words and expressions, but the absence of these words does not mean that a statement is not forward-looking. These statements are based on current expectatons as of the date of this press release and involve a number of risks and uncertaintes, which may cause results to difer materially from those indicated by these forward-looking statements. Many important factors could cause actual future events to difer materially from the forward-looking statements in this press release, including, but not limited to, future liquidity of the Company's securites, the Company’s contnued growth, changes in the Company's board of directors and executve management, and the Company's dependence on its executve management team. The foregoing list of factors is not exhaustve.</w:t>
      </w:r>
    </w:p>
    <w:p>
      <w:pPr>
        <w:spacing w:after="0" w:line="93"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212529"/>
        </w:rPr>
        <w:t>You should carefully consider the foregoing factors and the other risks and uncertaintes described under the capton "Risk Factors" in the Company’s Annual Report on Form 10-K for the fscal year ended December 31, 2023, fled with the SEC on March 28, 2024, as amended on April 29, 2024, and the Company's other flings with the SEC. These SEC flings identfy and address other important risks and uncertaintes that could cause actual events and results to difer materially from those contained in the forward-looking statements. Forward-looking statements speak only as of the date they are made. Readers are cautoned not to put undue reliance on forward-looking statements, and we assume no obligaton and do not intend to update or revise these forward-looking statements, whether as a result of new informaton, future events, or otherwise. We do not give any assurance that we will achieve our expectatons.</w:t>
      </w:r>
    </w:p>
    <w:p>
      <w:pPr>
        <w:spacing w:after="0" w:line="23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Contact:</w:t>
      </w:r>
    </w:p>
    <w:p>
      <w:pPr>
        <w:spacing w:after="0" w:line="238" w:lineRule="auto"/>
        <w:rPr>
          <w:sz w:val="20"/>
          <w:szCs w:val="20"/>
          <w:color w:val="auto"/>
        </w:rPr>
      </w:pPr>
      <w:r>
        <w:rPr>
          <w:rFonts w:ascii="Calibri" w:cs="Calibri" w:eastAsia="Calibri" w:hAnsi="Calibri"/>
          <w:sz w:val="20"/>
          <w:szCs w:val="20"/>
          <w:color w:val="auto"/>
        </w:rPr>
        <w:t>Solebury Strategic Communicatons</w:t>
      </w:r>
    </w:p>
    <w:p>
      <w:pPr>
        <w:spacing w:after="0" w:line="226" w:lineRule="auto"/>
        <w:rPr>
          <w:sz w:val="20"/>
          <w:szCs w:val="20"/>
          <w:color w:val="auto"/>
        </w:rPr>
      </w:pPr>
      <w:r>
        <w:rPr>
          <w:rFonts w:ascii="Calibri" w:cs="Calibri" w:eastAsia="Calibri" w:hAnsi="Calibri"/>
          <w:sz w:val="20"/>
          <w:szCs w:val="20"/>
          <w:color w:val="auto"/>
        </w:rPr>
        <w:t>Investors@AONcology.com</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2024-05-21T05:21:17Z</dcterms:created>
  <dcterms:modified xsi:type="dcterms:W3CDTF">2024-05-21T05:21:17Z</dcterms:modified>
</cp:coreProperties>
</file>